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720" w:lineRule="auto"/>
        <w:jc w:val="center"/>
        <w:textAlignment w:val="baseline"/>
        <w:rPr>
          <w:rFonts w:hint="eastAsia" w:ascii="华文行楷" w:hAnsi="华文行楷" w:eastAsia="华文行楷" w:cs="华文行楷"/>
          <w:sz w:val="44"/>
          <w:szCs w:val="44"/>
          <w:lang w:val="en-US" w:eastAsia="zh-CN"/>
        </w:rPr>
      </w:pPr>
      <w:r>
        <w:rPr>
          <w:rStyle w:val="10"/>
          <w:rFonts w:ascii="仿宋_GB2312" w:hAnsi="宋体"/>
          <w:b/>
          <w:i w:val="0"/>
          <w:caps w:val="0"/>
          <w:spacing w:val="0"/>
          <w:w w:val="100"/>
          <w:kern w:val="2"/>
          <w:sz w:val="44"/>
          <w:szCs w:val="44"/>
          <w:lang w:val="en-US" w:eastAsia="zh-CN" w:bidi="ar-SA"/>
        </w:rPr>
        <w:t>吉首大学</w:t>
      </w:r>
      <w:r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44"/>
          <w:szCs w:val="44"/>
          <w:lang w:val="en-US" w:eastAsia="zh-CN" w:bidi="ar-SA"/>
        </w:rPr>
        <w:t>第</w:t>
      </w:r>
      <w:r>
        <w:rPr>
          <w:rStyle w:val="10"/>
          <w:rFonts w:hint="eastAsia" w:ascii="宋体" w:hAnsi="宋体" w:cs="宋体"/>
          <w:b/>
          <w:bCs/>
          <w:i w:val="0"/>
          <w:caps w:val="0"/>
          <w:spacing w:val="0"/>
          <w:w w:val="100"/>
          <w:kern w:val="2"/>
          <w:sz w:val="44"/>
          <w:szCs w:val="44"/>
          <w:lang w:val="en-US" w:eastAsia="zh-CN" w:bidi="ar-SA"/>
        </w:rPr>
        <w:t>十</w:t>
      </w:r>
      <w:r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44"/>
          <w:szCs w:val="44"/>
          <w:lang w:val="en-US" w:eastAsia="zh-CN" w:bidi="ar-SA"/>
        </w:rPr>
        <w:t>届企业模拟经营大赛</w:t>
      </w:r>
      <w:r>
        <w:rPr>
          <w:rStyle w:val="10"/>
          <w:rFonts w:hint="eastAsia" w:ascii="宋体" w:hAnsi="宋体" w:cs="宋体"/>
          <w:b/>
          <w:bCs/>
          <w:i w:val="0"/>
          <w:caps w:val="0"/>
          <w:spacing w:val="0"/>
          <w:w w:val="100"/>
          <w:kern w:val="2"/>
          <w:sz w:val="44"/>
          <w:szCs w:val="44"/>
          <w:lang w:val="en-US" w:eastAsia="zh-CN" w:bidi="ar-SA"/>
        </w:rPr>
        <w:t>暨商科管理工作室省赛队员选拔的</w:t>
      </w:r>
      <w:r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44"/>
          <w:szCs w:val="44"/>
          <w:lang w:val="en-US" w:eastAsia="zh-CN" w:bidi="ar-SA"/>
        </w:rPr>
        <w:t>通知</w:t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一、工作室简介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华文楷体" w:hAnsi="华文楷体" w:eastAsia="华文楷体" w:cs="华文楷体"/>
          <w:sz w:val="24"/>
          <w:szCs w:val="24"/>
        </w:rPr>
        <w:t>管理实践创新与竞赛工作室</w:t>
      </w:r>
      <w:r>
        <w:rPr>
          <w:rFonts w:hint="eastAsia" w:ascii="华文楷体" w:hAnsi="华文楷体" w:eastAsia="华文楷体" w:cs="华文楷体"/>
          <w:sz w:val="24"/>
          <w:szCs w:val="24"/>
          <w:lang w:eastAsia="zh-CN"/>
        </w:rPr>
        <w:t>（原商科实践创新与竞赛工作室）于</w:t>
      </w: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2012年成立，归属吉首大学教务处与吉首大学商学院的双重管理。经过10年的发展，本工作室以企业运营流程为主线，分别组织了:全国大学生ERP沙盘模拟竞赛、全国大学生财务大数据应用能力邀请赛、国际企业管理挑战赛（GMC）、全国大学生创业综合模拟大赛、全国高校商业精英挑战赛创新创业竞赛等商业管理类赛事，到2020年，本工作室共获得国家级奖项29项、省级奖项47项。大大提升了商科学生的实践动手能力，将理论与实践的有机结果；同时在全省以及全国产生了一定的影响力，起到了“精诚锤炼、诠释商道”的培养目标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/>
        <w:ind w:leftChars="0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二、工作室特性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楷体" w:hAnsi="华文楷体" w:eastAsia="华文楷体" w:cs="华文楷体"/>
          <w:sz w:val="24"/>
          <w:szCs w:val="24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工作室旨在</w:t>
      </w:r>
      <w:r>
        <w:rPr>
          <w:rFonts w:hint="eastAsia" w:ascii="华文楷体" w:hAnsi="华文楷体" w:eastAsia="华文楷体" w:cs="华文楷体"/>
          <w:sz w:val="24"/>
          <w:szCs w:val="24"/>
        </w:rPr>
        <w:t>培养</w:t>
      </w:r>
      <w:r>
        <w:rPr>
          <w:rFonts w:hint="eastAsia" w:ascii="华文楷体" w:hAnsi="华文楷体" w:eastAsia="华文楷体" w:cs="华文楷体"/>
          <w:sz w:val="24"/>
          <w:szCs w:val="24"/>
          <w:lang w:eastAsia="zh-CN"/>
        </w:rPr>
        <w:t>以企业运营为主线的创始人及企业</w:t>
      </w: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经理人为基础</w:t>
      </w:r>
      <w:r>
        <w:rPr>
          <w:rFonts w:hint="eastAsia" w:ascii="华文楷体" w:hAnsi="华文楷体" w:eastAsia="华文楷体" w:cs="华文楷体"/>
          <w:sz w:val="24"/>
          <w:szCs w:val="24"/>
        </w:rPr>
        <w:t>，</w:t>
      </w: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培育</w:t>
      </w:r>
      <w:r>
        <w:rPr>
          <w:rFonts w:hint="eastAsia" w:ascii="华文楷体" w:hAnsi="华文楷体" w:eastAsia="华文楷体" w:cs="华文楷体"/>
          <w:sz w:val="24"/>
          <w:szCs w:val="24"/>
        </w:rPr>
        <w:t>具有良好的职业道德、较高的人文社会科学素养和较强的社会责任感，具有较强的创新意识、竞争意识、团队精神和沟通能力</w:t>
      </w: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的企业经营管理类人才</w:t>
      </w:r>
      <w:r>
        <w:rPr>
          <w:rFonts w:hint="eastAsia" w:ascii="华文楷体" w:hAnsi="华文楷体" w:eastAsia="华文楷体" w:cs="华文楷体"/>
          <w:sz w:val="24"/>
          <w:szCs w:val="24"/>
        </w:rPr>
        <w:t>。</w:t>
      </w:r>
    </w:p>
    <w:p>
      <w:pPr>
        <w:pStyle w:val="3"/>
        <w:numPr>
          <w:ilvl w:val="0"/>
          <w:numId w:val="0"/>
        </w:numPr>
        <w:bidi w:val="0"/>
        <w:ind w:leftChars="0"/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三、工作室承担的比赛以及近期获奖情况</w:t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2020年：</w:t>
      </w:r>
    </w:p>
    <w:p>
      <w:pP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全国大学生财务大数据应用能力邀请赛（A类），国家三等2项、国家二等2项，湖南省二等2项、湖南省三等2项；</w:t>
      </w:r>
    </w:p>
    <w:p>
      <w:pP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湖南省大学生企业模拟经营竞赛（A类），一、二、三等奖各1项；</w:t>
      </w:r>
    </w:p>
    <w:p>
      <w:pPr>
        <w:rPr>
          <w:rFonts w:hint="default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国际企业管理挑战赛（GMC）（C类），全国三等奖1项</w:t>
      </w:r>
    </w:p>
    <w:p>
      <w:pPr>
        <w:ind w:left="0" w:leftChars="0" w:firstLine="0" w:firstLineChars="0"/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2019年：</w:t>
      </w:r>
    </w:p>
    <w:p>
      <w:pP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全国大学生财务大数据应用能力邀请赛（A类）湖南省二、三等奖各1项；</w:t>
      </w:r>
    </w:p>
    <w:p>
      <w:pPr>
        <w:rPr>
          <w:rFonts w:hint="default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全国大学生ERP沙盘模拟竞赛（A类）二等奖1项；</w:t>
      </w:r>
    </w:p>
    <w:p>
      <w:pP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湖南省大学生企业模拟经营竞赛（A类），一等奖各3项；</w:t>
      </w:r>
    </w:p>
    <w:p>
      <w:pPr>
        <w:ind w:left="0" w:leftChars="0" w:firstLine="0" w:firstLineChars="0"/>
        <w:rPr>
          <w:rFonts w:hint="default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2018年：</w:t>
      </w:r>
    </w:p>
    <w:p>
      <w:pP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全国大学生财务大数据应用能力邀请赛（A类）湖南省一等奖1项，二、三等奖各1项；</w:t>
      </w:r>
    </w:p>
    <w:p>
      <w:pPr>
        <w:rPr>
          <w:rFonts w:hint="default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全国大学生ERP沙盘模拟竞赛（A类）二等奖1项；</w:t>
      </w:r>
    </w:p>
    <w:p>
      <w:pP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湖南省大学生企业模拟经营竞赛（A类），一等奖各2项、二等奖1项；</w:t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四、比赛剪影</w:t>
      </w:r>
    </w:p>
    <w:p>
      <w:pPr>
        <w:pStyle w:val="3"/>
        <w:bidi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rPr>
          <w:rFonts w:hint="eastAsia" w:eastAsia="华文楷体"/>
          <w:lang w:val="en-US" w:eastAsia="zh-CN"/>
        </w:rPr>
      </w:pPr>
      <w:r>
        <w:rPr>
          <w:rFonts w:ascii="华文楷体" w:hAnsi="华文楷体" w:eastAsia="华文楷体"/>
          <w:sz w:val="44"/>
          <w:szCs w:val="44"/>
        </w:rPr>
        <w:drawing>
          <wp:inline distT="0" distB="0" distL="114300" distR="114300">
            <wp:extent cx="2284095" cy="1713865"/>
            <wp:effectExtent l="0" t="0" r="1905" b="8255"/>
            <wp:docPr id="11" name="图片 11" descr="1b122fb511e9b044c956b328afaa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b122fb511e9b044c956b328afaa9d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hAnsi="华文楷体" w:eastAsia="华文楷体"/>
          <w:sz w:val="44"/>
          <w:szCs w:val="44"/>
        </w:rPr>
        <w:drawing>
          <wp:inline distT="0" distB="0" distL="0" distR="0">
            <wp:extent cx="2561590" cy="1687195"/>
            <wp:effectExtent l="0" t="0" r="1397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华文楷体"/>
          <w:lang w:val="en-US" w:eastAsia="zh-CN"/>
        </w:rPr>
        <w:drawing>
          <wp:inline distT="0" distB="0" distL="114300" distR="114300">
            <wp:extent cx="1950085" cy="2600960"/>
            <wp:effectExtent l="0" t="0" r="635" b="5080"/>
            <wp:docPr id="8" name="图片 8" descr="12a5561c81924de5f8f5f8317a88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a5561c81924de5f8f5f8317a881e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华文楷体"/>
          <w:lang w:val="en-US" w:eastAsia="zh-CN"/>
        </w:rPr>
        <w:t xml:space="preserve">   </w:t>
      </w:r>
      <w:r>
        <w:rPr>
          <w:rFonts w:hint="eastAsia" w:eastAsia="华文楷体"/>
          <w:lang w:val="en-US" w:eastAsia="zh-CN"/>
        </w:rPr>
        <w:drawing>
          <wp:inline distT="0" distB="0" distL="114300" distR="114300">
            <wp:extent cx="1883410" cy="2511425"/>
            <wp:effectExtent l="0" t="0" r="6350" b="3175"/>
            <wp:docPr id="12" name="图片 12" descr="314eb323aafb3fbd7b3664249cef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14eb323aafb3fbd7b3664249cef1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default" w:ascii="Times New Roman" w:hAnsi="Times New Roman" w:eastAsia="仿宋_GB2312" w:cs="Times New Roman"/>
          <w:b w:val="0"/>
          <w:kern w:val="2"/>
          <w:sz w:val="36"/>
          <w:szCs w:val="36"/>
          <w:lang w:val="en-US" w:eastAsia="zh-CN" w:bidi="ar-SA"/>
        </w:rPr>
      </w:pPr>
      <w:r>
        <w:rPr>
          <w:rFonts w:hint="eastAsia"/>
          <w:sz w:val="36"/>
          <w:szCs w:val="36"/>
          <w:lang w:val="en-US" w:eastAsia="zh-CN"/>
        </w:rPr>
        <w:t>五、部分A类竞赛获奖证书及奖杯</w:t>
      </w:r>
    </w:p>
    <w:p>
      <w:pPr>
        <w:pStyle w:val="3"/>
        <w:bidi w:val="0"/>
        <w:ind w:left="0" w:leftChars="0" w:firstLine="0" w:firstLineChars="0"/>
        <w:rPr>
          <w:rFonts w:hint="eastAsia" w:ascii="Times New Roman" w:hAnsi="Times New Roman" w:eastAsia="仿宋_GB2312" w:cs="Times New Roman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24"/>
          <w:szCs w:val="24"/>
          <w:lang w:val="en-US" w:eastAsia="zh-CN" w:bidi="ar-SA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517140" cy="1707515"/>
            <wp:effectExtent l="0" t="0" r="16510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9690" cy="1869440"/>
            <wp:effectExtent l="0" t="0" r="10160" b="165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533015" cy="1810385"/>
            <wp:effectExtent l="0" t="0" r="635" b="184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1265" cy="1831975"/>
            <wp:effectExtent l="0" t="0" r="13335" b="158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inline distT="0" distB="0" distL="0" distR="0">
            <wp:extent cx="5367020" cy="4119245"/>
            <wp:effectExtent l="0" t="0" r="5080" b="146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六、关于比赛</w:t>
      </w:r>
    </w:p>
    <w:p>
      <w:pPr>
        <w:snapToGrid/>
        <w:spacing w:before="0" w:beforeAutospacing="0" w:after="0" w:afterAutospacing="0" w:line="560" w:lineRule="exact"/>
        <w:ind w:firstLine="560" w:firstLineChars="200"/>
        <w:jc w:val="both"/>
        <w:textAlignment w:val="baseline"/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为继续深化商科类专业创新创业教学改革，培养学生创新精神、创业意识及创业能力，达到以赛促学、以赛促练、以赛促改的教学目的，提高人才培养质量，</w:t>
      </w: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举行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吉首大学第</w:t>
      </w: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十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届企业模拟经营大赛</w:t>
      </w: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暨商科管理工作室省赛队员选拔活动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。有关事项通知如下：</w:t>
      </w:r>
    </w:p>
    <w:p>
      <w:pPr>
        <w:snapToGrid/>
        <w:spacing w:before="0" w:beforeAutospacing="0" w:after="0" w:afterAutospacing="0" w:line="560" w:lineRule="exact"/>
        <w:ind w:left="0" w:leftChars="0" w:firstLine="0" w:firstLineChars="0"/>
        <w:jc w:val="both"/>
        <w:textAlignment w:val="baseline"/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</w:pPr>
      <w:r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  <w:t>比赛组织</w:t>
      </w:r>
    </w:p>
    <w:p>
      <w:pPr>
        <w:snapToGrid/>
        <w:spacing w:before="0" w:beforeAutospacing="0" w:after="0" w:afterAutospacing="0" w:line="560" w:lineRule="exact"/>
        <w:ind w:firstLine="562" w:firstLineChars="2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主办单位：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吉首大学教务处</w:t>
      </w:r>
    </w:p>
    <w:p>
      <w:pPr>
        <w:snapToGrid/>
        <w:spacing w:before="0" w:beforeAutospacing="0" w:after="0" w:afterAutospacing="0" w:line="560" w:lineRule="exact"/>
        <w:ind w:firstLine="562" w:firstLineChars="2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承办单位：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吉首大学商学院</w:t>
      </w:r>
    </w:p>
    <w:p>
      <w:pPr>
        <w:snapToGrid/>
        <w:spacing w:before="0" w:beforeAutospacing="0" w:after="0" w:afterAutospacing="0" w:line="560" w:lineRule="exact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 xml:space="preserve">          吉首大学</w:t>
      </w: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管理实践创新与竞赛工作室</w:t>
      </w:r>
    </w:p>
    <w:p>
      <w:pPr>
        <w:snapToGrid/>
        <w:spacing w:before="0" w:beforeAutospacing="0" w:after="0" w:afterAutospacing="0" w:line="560" w:lineRule="exact"/>
        <w:ind w:left="0" w:leftChars="0" w:firstLine="0" w:firstLineChars="0"/>
        <w:jc w:val="both"/>
        <w:textAlignment w:val="baseline"/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</w:pPr>
      <w:r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  <w:t>比赛形式</w:t>
      </w:r>
    </w:p>
    <w:p>
      <w:pPr>
        <w:snapToGrid/>
        <w:spacing w:before="0" w:beforeAutospacing="0" w:after="0" w:afterAutospacing="0" w:line="560" w:lineRule="exact"/>
        <w:ind w:firstLine="560" w:firstLineChars="2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参赛选手以</w:t>
      </w: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个人为单位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，参加“企业模拟经营大赛”，每个</w:t>
      </w: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人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为一个独立企业，负责整个企业的决策和整体规划；负责记录每期的现金收支情况，统计每年的财务报表；负责市场销售，管理企业的订单并保证按期交货；负责产品生产过程，根据情况安排生产，并根据需要对生产线进行变更；负责保证原料供应及时、低成本、高质量。对企业在经营管理中的生产、运营、发展等一系列活动进行对抗训练。经营以</w:t>
      </w: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5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年时间为期限，最后裁判通过各企业经营、产品的市场占有率等经营效果的考核来评价该企业的经营水平。</w:t>
      </w:r>
    </w:p>
    <w:p>
      <w:pPr>
        <w:snapToGrid/>
        <w:spacing w:before="0" w:beforeAutospacing="0" w:after="0" w:afterAutospacing="0" w:line="560" w:lineRule="exact"/>
        <w:ind w:left="0" w:leftChars="0" w:firstLine="0" w:firstLineChars="0"/>
        <w:jc w:val="both"/>
        <w:textAlignment w:val="baseline"/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</w:pPr>
      <w:r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  <w:t>参赛要求</w:t>
      </w:r>
    </w:p>
    <w:p>
      <w:pPr>
        <w:snapToGrid/>
        <w:spacing w:before="0" w:beforeAutospacing="0" w:after="0" w:afterAutospacing="0" w:line="560" w:lineRule="exact"/>
        <w:ind w:firstLine="562" w:firstLineChars="2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参赛对象：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吉首大学</w:t>
      </w: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19、20、21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级在校学生</w:t>
      </w:r>
    </w:p>
    <w:p>
      <w:pPr>
        <w:snapToGrid/>
        <w:spacing w:before="0" w:beforeAutospacing="0" w:after="0" w:afterAutospacing="0" w:line="560" w:lineRule="exact"/>
        <w:ind w:firstLine="562" w:firstLineChars="200"/>
        <w:jc w:val="both"/>
        <w:textAlignment w:val="baseline"/>
        <w:rPr>
          <w:rStyle w:val="10"/>
          <w:rFonts w:hint="default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参赛形式：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自愿报名，</w:t>
      </w: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以个人形式参加</w:t>
      </w:r>
    </w:p>
    <w:p>
      <w:pPr>
        <w:snapToGrid/>
        <w:spacing w:before="0" w:beforeAutospacing="0" w:after="0" w:afterAutospacing="0" w:line="560" w:lineRule="exact"/>
        <w:ind w:left="557" w:leftChars="232" w:firstLine="0" w:firstLineChars="0"/>
        <w:jc w:val="both"/>
        <w:textAlignment w:val="baseline"/>
        <w:rPr>
          <w:rStyle w:val="10"/>
          <w:rFonts w:hint="default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报</w:t>
      </w:r>
      <w:r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名条件：</w:t>
      </w:r>
      <w:r>
        <w:rPr>
          <w:rStyle w:val="10"/>
          <w:rFonts w:hint="eastAsia" w:ascii="宋体" w:hAnsi="宋体" w:cs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不限学院，在比赛前参与培训，并在报名日期截止前发报名表到指定邮箱报名即可</w:t>
      </w:r>
    </w:p>
    <w:p>
      <w:pPr>
        <w:snapToGrid/>
        <w:spacing w:before="0" w:beforeAutospacing="0" w:after="0" w:afterAutospacing="0" w:line="560" w:lineRule="exact"/>
        <w:ind w:firstLine="562" w:firstLineChars="200"/>
        <w:jc w:val="left"/>
        <w:textAlignment w:val="baseline"/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报名方式：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加入QQ群</w:t>
      </w: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916403893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并填写报名表发送至QQ邮箱</w:t>
      </w:r>
      <w:r>
        <w:rPr>
          <w:rStyle w:val="10"/>
          <w:rFonts w:hint="eastAsia" w:ascii="宋体" w:hAnsi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3047660941</w:t>
      </w:r>
      <w:r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@qq.com</w:t>
      </w:r>
    </w:p>
    <w:p>
      <w:pPr>
        <w:snapToGrid/>
        <w:spacing w:before="0" w:beforeAutospacing="0" w:after="0" w:afterAutospacing="0" w:line="560" w:lineRule="exact"/>
        <w:ind w:left="0" w:leftChars="0" w:firstLine="0" w:firstLineChars="0"/>
        <w:jc w:val="both"/>
        <w:textAlignment w:val="baseline"/>
        <w:rPr>
          <w:rStyle w:val="10"/>
          <w:rFonts w:hint="eastAsia" w:ascii="宋体" w:hAnsi="宋体" w:cs="Arial"/>
          <w:b/>
          <w:bCs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</w:pPr>
      <w:r>
        <w:rPr>
          <w:rStyle w:val="10"/>
          <w:rFonts w:hint="eastAsia" w:ascii="宋体" w:hAnsi="宋体" w:cs="Arial"/>
          <w:b/>
          <w:bCs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  <w:t>报名时间及地点</w:t>
      </w:r>
    </w:p>
    <w:p>
      <w:pPr>
        <w:snapToGrid/>
        <w:spacing w:before="0" w:beforeAutospacing="0" w:after="0" w:afterAutospacing="0" w:line="560" w:lineRule="exact"/>
        <w:ind w:firstLine="562" w:firstLineChars="200"/>
        <w:jc w:val="both"/>
        <w:textAlignment w:val="baseline"/>
        <w:rPr>
          <w:rStyle w:val="10"/>
          <w:rFonts w:hint="default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报名时间：</w:t>
      </w:r>
      <w:r>
        <w:rPr>
          <w:rStyle w:val="10"/>
          <w:rFonts w:hint="eastAsia"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校赛一周前，具体截止看QQ群信息</w:t>
      </w:r>
    </w:p>
    <w:p>
      <w:pPr>
        <w:snapToGrid/>
        <w:spacing w:before="0" w:beforeAutospacing="0" w:after="0" w:afterAutospacing="0" w:line="560" w:lineRule="exact"/>
        <w:ind w:firstLine="562" w:firstLineChars="2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赛前培训：</w:t>
      </w:r>
      <w:r>
        <w:rPr>
          <w:rStyle w:val="10"/>
          <w:rFonts w:hint="eastAsia"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2021年10月30日、31日，11月6日、7日，四天循环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培训比赛规则</w:t>
      </w: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（每半天一轮）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，</w:t>
      </w:r>
      <w:r>
        <w:rPr>
          <w:rStyle w:val="10"/>
          <w:rFonts w:ascii="宋体" w:hAnsi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后期提供</w:t>
      </w:r>
      <w:r>
        <w:rPr>
          <w:rStyle w:val="10"/>
          <w:rFonts w:hint="eastAsia" w:ascii="宋体" w:hAnsi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在线平台，为学生免费开放及指导服务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，想要在</w:t>
      </w:r>
      <w:r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校赛中取得好成绩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/</w:t>
      </w:r>
      <w:r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想打省赛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/</w:t>
      </w:r>
      <w:r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有兴趣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的同学</w:t>
      </w: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可以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积极训练。</w:t>
      </w:r>
    </w:p>
    <w:p>
      <w:pPr>
        <w:snapToGrid/>
        <w:spacing w:before="0" w:beforeAutospacing="0" w:after="0" w:afterAutospacing="0" w:line="560" w:lineRule="exact"/>
        <w:ind w:firstLine="560" w:firstLineChars="200"/>
        <w:jc w:val="both"/>
        <w:textAlignment w:val="baseline"/>
        <w:rPr>
          <w:rStyle w:val="10"/>
          <w:rFonts w:hint="default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训练现场指导地点：第11教学楼南807、808、810室</w:t>
      </w:r>
    </w:p>
    <w:p>
      <w:pPr>
        <w:snapToGrid/>
        <w:spacing w:before="0" w:beforeAutospacing="0" w:after="0" w:afterAutospacing="0" w:line="560" w:lineRule="exact"/>
        <w:jc w:val="both"/>
        <w:textAlignment w:val="baseline"/>
        <w:rPr>
          <w:rStyle w:val="10"/>
          <w:rFonts w:hint="default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比赛时间：</w:t>
      </w:r>
      <w:r>
        <w:rPr>
          <w:rStyle w:val="10"/>
          <w:rFonts w:hint="eastAsia"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4月份（具体时间视训练情况而定）</w:t>
      </w:r>
    </w:p>
    <w:p>
      <w:pPr>
        <w:snapToGrid/>
        <w:spacing w:before="0" w:beforeAutospacing="0" w:after="0" w:afterAutospacing="0" w:line="560" w:lineRule="exact"/>
        <w:ind w:firstLine="562" w:firstLineChars="2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比赛地点：</w:t>
      </w: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第11教学楼南8楼</w:t>
      </w:r>
    </w:p>
    <w:p>
      <w:pPr>
        <w:widowControl/>
        <w:snapToGrid/>
        <w:spacing w:before="0" w:beforeAutospacing="0" w:after="0" w:afterAutospacing="0" w:line="240" w:lineRule="auto"/>
        <w:ind w:firstLine="562" w:firstLineChars="20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奖项设置：</w:t>
      </w:r>
    </w:p>
    <w:tbl>
      <w:tblPr>
        <w:tblStyle w:val="6"/>
        <w:tblW w:w="9467" w:type="dxa"/>
        <w:tblInd w:w="-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8F6FC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7"/>
        <w:gridCol w:w="2040"/>
        <w:gridCol w:w="56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8F6FC"/>
            <w:vAlign w:val="top"/>
          </w:tcPr>
          <w:p>
            <w:pPr>
              <w:snapToGrid/>
              <w:spacing w:before="0" w:beforeAutospacing="0" w:after="0" w:afterAutospacing="0" w:line="440" w:lineRule="exact"/>
              <w:jc w:val="center"/>
              <w:textAlignment w:val="baseline"/>
              <w:rPr>
                <w:rStyle w:val="10"/>
                <w:rFonts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0"/>
                <w:rFonts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奖项名称</w:t>
            </w:r>
          </w:p>
        </w:tc>
        <w:tc>
          <w:tcPr>
            <w:tcW w:w="2040" w:type="dxa"/>
            <w:tcBorders>
              <w:top w:val="single" w:color="000000" w:sz="8" w:space="0"/>
              <w:left w:val="outset" w:color="ECE9D8" w:sz="6" w:space="0"/>
              <w:bottom w:val="single" w:color="000000" w:sz="8" w:space="0"/>
              <w:right w:val="single" w:color="000000" w:sz="8" w:space="0"/>
            </w:tcBorders>
            <w:shd w:val="clear" w:color="auto" w:fill="E8F6FC"/>
            <w:vAlign w:val="top"/>
          </w:tcPr>
          <w:p>
            <w:pPr>
              <w:snapToGrid/>
              <w:spacing w:before="0" w:beforeAutospacing="0" w:after="0" w:afterAutospacing="0" w:line="440" w:lineRule="exact"/>
              <w:jc w:val="center"/>
              <w:textAlignment w:val="baseline"/>
              <w:rPr>
                <w:rStyle w:val="10"/>
                <w:rFonts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0"/>
                <w:rFonts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数量（个）</w:t>
            </w:r>
          </w:p>
        </w:tc>
        <w:tc>
          <w:tcPr>
            <w:tcW w:w="5640" w:type="dxa"/>
            <w:tcBorders>
              <w:top w:val="single" w:color="000000" w:sz="8" w:space="0"/>
              <w:left w:val="outset" w:color="ECE9D8" w:sz="6" w:space="0"/>
              <w:bottom w:val="single" w:color="000000" w:sz="8" w:space="0"/>
              <w:right w:val="single" w:color="000000" w:sz="8" w:space="0"/>
            </w:tcBorders>
            <w:shd w:val="clear" w:color="auto" w:fill="E8F6FC"/>
            <w:vAlign w:val="top"/>
          </w:tcPr>
          <w:p>
            <w:pPr>
              <w:snapToGrid/>
              <w:spacing w:before="0" w:beforeAutospacing="0" w:after="0" w:afterAutospacing="0" w:line="440" w:lineRule="exact"/>
              <w:jc w:val="center"/>
              <w:textAlignment w:val="baseline"/>
              <w:rPr>
                <w:rStyle w:val="10"/>
                <w:rFonts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0"/>
                <w:rFonts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奖励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8F6FC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787" w:type="dxa"/>
            <w:tcBorders>
              <w:top w:val="outset" w:color="ECE9D8" w:sz="6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8F6FC"/>
            <w:vAlign w:val="top"/>
          </w:tcPr>
          <w:p>
            <w:pPr>
              <w:snapToGrid/>
              <w:spacing w:before="0" w:beforeAutospacing="0" w:after="0" w:afterAutospacing="0" w:line="440" w:lineRule="exact"/>
              <w:jc w:val="center"/>
              <w:textAlignment w:val="baseline"/>
              <w:rPr>
                <w:rStyle w:val="10"/>
                <w:rFonts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0"/>
                <w:rFonts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一等奖</w:t>
            </w:r>
          </w:p>
        </w:tc>
        <w:tc>
          <w:tcPr>
            <w:tcW w:w="2040" w:type="dxa"/>
            <w:tcBorders>
              <w:top w:val="outset" w:color="ECE9D8" w:sz="6" w:space="0"/>
              <w:left w:val="outset" w:color="ECE9D8" w:sz="6" w:space="0"/>
              <w:bottom w:val="single" w:color="000000" w:sz="8" w:space="0"/>
              <w:right w:val="single" w:color="000000" w:sz="8" w:space="0"/>
            </w:tcBorders>
            <w:shd w:val="clear" w:color="auto" w:fill="E8F6FC"/>
            <w:vAlign w:val="top"/>
          </w:tcPr>
          <w:p>
            <w:pPr>
              <w:snapToGrid/>
              <w:spacing w:before="0" w:beforeAutospacing="0" w:after="0" w:afterAutospacing="0" w:line="440" w:lineRule="exact"/>
              <w:jc w:val="center"/>
              <w:textAlignment w:val="baseline"/>
              <w:rPr>
                <w:rStyle w:val="10"/>
                <w:rFonts w:hint="default" w:ascii="Times New Roman" w:hAnsi="Times New Roman" w:eastAsia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0"/>
                <w:rFonts w:hint="eastAsia"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15</w:t>
            </w:r>
          </w:p>
        </w:tc>
        <w:tc>
          <w:tcPr>
            <w:tcW w:w="5640" w:type="dxa"/>
            <w:tcBorders>
              <w:top w:val="outset" w:color="ECE9D8" w:sz="6" w:space="0"/>
              <w:left w:val="outset" w:color="ECE9D8" w:sz="6" w:space="0"/>
              <w:bottom w:val="single" w:color="000000" w:sz="8" w:space="0"/>
              <w:right w:val="single" w:color="000000" w:sz="8" w:space="0"/>
            </w:tcBorders>
            <w:shd w:val="clear" w:color="auto" w:fill="E8F6FC"/>
            <w:vAlign w:val="center"/>
          </w:tcPr>
          <w:p>
            <w:pPr>
              <w:snapToGrid/>
              <w:spacing w:before="0" w:beforeAutospacing="0" w:after="0" w:afterAutospacing="0" w:line="440" w:lineRule="exact"/>
              <w:jc w:val="center"/>
              <w:textAlignment w:val="baseline"/>
              <w:rPr>
                <w:rStyle w:val="10"/>
                <w:rFonts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0"/>
                <w:rFonts w:hint="eastAsia"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200</w:t>
            </w:r>
            <w:r>
              <w:rPr>
                <w:rStyle w:val="10"/>
                <w:rFonts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元+校级竞赛证书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1787" w:type="dxa"/>
            <w:tcBorders>
              <w:top w:val="outset" w:color="ECE9D8" w:sz="6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8F6FC"/>
            <w:vAlign w:val="top"/>
          </w:tcPr>
          <w:p>
            <w:pPr>
              <w:snapToGrid/>
              <w:spacing w:before="0" w:beforeAutospacing="0" w:after="0" w:afterAutospacing="0" w:line="440" w:lineRule="exact"/>
              <w:jc w:val="center"/>
              <w:textAlignment w:val="baseline"/>
              <w:rPr>
                <w:rStyle w:val="10"/>
                <w:rFonts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0"/>
                <w:rFonts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二等奖</w:t>
            </w:r>
          </w:p>
        </w:tc>
        <w:tc>
          <w:tcPr>
            <w:tcW w:w="2040" w:type="dxa"/>
            <w:tcBorders>
              <w:top w:val="outset" w:color="ECE9D8" w:sz="6" w:space="0"/>
              <w:left w:val="outset" w:color="ECE9D8" w:sz="6" w:space="0"/>
              <w:bottom w:val="single" w:color="000000" w:sz="8" w:space="0"/>
              <w:right w:val="single" w:color="000000" w:sz="8" w:space="0"/>
            </w:tcBorders>
            <w:shd w:val="clear" w:color="auto" w:fill="E8F6FC"/>
            <w:vAlign w:val="center"/>
          </w:tcPr>
          <w:p>
            <w:pPr>
              <w:snapToGrid/>
              <w:spacing w:before="0" w:beforeAutospacing="0" w:after="0" w:afterAutospacing="0" w:line="440" w:lineRule="exact"/>
              <w:jc w:val="center"/>
              <w:textAlignment w:val="baseline"/>
              <w:rPr>
                <w:rStyle w:val="10"/>
                <w:rFonts w:hint="default"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0"/>
                <w:rFonts w:hint="eastAsia"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25</w:t>
            </w:r>
          </w:p>
        </w:tc>
        <w:tc>
          <w:tcPr>
            <w:tcW w:w="5640" w:type="dxa"/>
            <w:tcBorders>
              <w:top w:val="outset" w:color="ECE9D8" w:sz="6" w:space="0"/>
              <w:left w:val="outset" w:color="ECE9D8" w:sz="6" w:space="0"/>
              <w:bottom w:val="single" w:color="000000" w:sz="8" w:space="0"/>
              <w:right w:val="single" w:color="000000" w:sz="8" w:space="0"/>
            </w:tcBorders>
            <w:shd w:val="clear" w:color="auto" w:fill="E8F6FC"/>
            <w:vAlign w:val="center"/>
          </w:tcPr>
          <w:p>
            <w:pPr>
              <w:snapToGrid/>
              <w:spacing w:before="0" w:beforeAutospacing="0" w:after="0" w:afterAutospacing="0" w:line="440" w:lineRule="exact"/>
              <w:jc w:val="center"/>
              <w:textAlignment w:val="baseline"/>
              <w:rPr>
                <w:rStyle w:val="10"/>
                <w:rFonts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0"/>
                <w:rFonts w:hint="eastAsia"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精美礼品</w:t>
            </w:r>
            <w:r>
              <w:rPr>
                <w:rStyle w:val="10"/>
                <w:rFonts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+校级竞赛证书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8F6FC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87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E8F6FC"/>
            <w:vAlign w:val="top"/>
          </w:tcPr>
          <w:p>
            <w:pPr>
              <w:snapToGrid/>
              <w:spacing w:before="0" w:beforeAutospacing="0" w:after="0" w:afterAutospacing="0" w:line="440" w:lineRule="exact"/>
              <w:jc w:val="both"/>
              <w:textAlignment w:val="baseline"/>
              <w:rPr>
                <w:rStyle w:val="10"/>
                <w:rFonts w:hint="default"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0"/>
                <w:rFonts w:hint="eastAsia"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 三等奖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6FC"/>
            <w:vAlign w:val="center"/>
          </w:tcPr>
          <w:p>
            <w:pPr>
              <w:snapToGrid/>
              <w:spacing w:before="0" w:beforeAutospacing="0" w:after="0" w:afterAutospacing="0" w:line="440" w:lineRule="exact"/>
              <w:jc w:val="center"/>
              <w:textAlignment w:val="baseline"/>
              <w:rPr>
                <w:rStyle w:val="10"/>
                <w:rFonts w:hint="default"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0"/>
                <w:rFonts w:hint="eastAsia"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待定</w:t>
            </w:r>
          </w:p>
        </w:tc>
        <w:tc>
          <w:tcPr>
            <w:tcW w:w="5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6FC"/>
            <w:vAlign w:val="center"/>
          </w:tcPr>
          <w:p>
            <w:pPr>
              <w:snapToGrid/>
              <w:spacing w:before="0" w:beforeAutospacing="0" w:after="0" w:afterAutospacing="0" w:line="440" w:lineRule="exact"/>
              <w:ind w:firstLine="2249" w:firstLineChars="800"/>
              <w:jc w:val="both"/>
              <w:textAlignment w:val="baseline"/>
              <w:rPr>
                <w:rStyle w:val="10"/>
                <w:rFonts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0"/>
                <w:rFonts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校级证书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8F6FC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87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E8F6FC"/>
            <w:vAlign w:val="top"/>
          </w:tcPr>
          <w:p>
            <w:pPr>
              <w:snapToGrid/>
              <w:spacing w:before="0" w:beforeAutospacing="0" w:after="0" w:afterAutospacing="0" w:line="440" w:lineRule="exact"/>
              <w:jc w:val="center"/>
              <w:textAlignment w:val="baseline"/>
              <w:rPr>
                <w:rStyle w:val="10"/>
                <w:rFonts w:hint="default"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0"/>
                <w:rFonts w:hint="eastAsia"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最佳裁判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6FC"/>
            <w:vAlign w:val="center"/>
          </w:tcPr>
          <w:p>
            <w:pPr>
              <w:snapToGrid/>
              <w:spacing w:before="0" w:beforeAutospacing="0" w:after="0" w:afterAutospacing="0" w:line="440" w:lineRule="exact"/>
              <w:jc w:val="center"/>
              <w:textAlignment w:val="baseline"/>
              <w:rPr>
                <w:rStyle w:val="10"/>
                <w:rFonts w:hint="default"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0"/>
                <w:rFonts w:hint="eastAsia"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2</w:t>
            </w:r>
          </w:p>
        </w:tc>
        <w:tc>
          <w:tcPr>
            <w:tcW w:w="5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8F6FC"/>
            <w:vAlign w:val="center"/>
          </w:tcPr>
          <w:p>
            <w:pPr>
              <w:snapToGrid/>
              <w:spacing w:before="0" w:beforeAutospacing="0" w:after="0" w:afterAutospacing="0" w:line="440" w:lineRule="exact"/>
              <w:ind w:firstLine="2249" w:firstLineChars="800"/>
              <w:jc w:val="both"/>
              <w:textAlignment w:val="baseline"/>
              <w:rPr>
                <w:rStyle w:val="10"/>
                <w:rFonts w:hint="default"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0"/>
                <w:rFonts w:hint="eastAsia" w:ascii="Times New Roman" w:hAnsi="Times New Roman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校级证书</w:t>
            </w:r>
          </w:p>
        </w:tc>
      </w:tr>
    </w:tbl>
    <w:p>
      <w:pPr>
        <w:widowControl/>
        <w:snapToGrid/>
        <w:spacing w:before="0" w:beforeAutospacing="0" w:after="0" w:afterAutospacing="0" w:line="240" w:lineRule="auto"/>
        <w:jc w:val="left"/>
        <w:textAlignment w:val="baseline"/>
        <w:rPr>
          <w:rStyle w:val="10"/>
          <w:rFonts w:hint="default" w:ascii="宋体" w:hAnsi="宋体" w:cs="宋体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注：</w:t>
      </w:r>
      <w:r>
        <w:rPr>
          <w:rStyle w:val="10"/>
          <w:rFonts w:hint="eastAsia"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前40名</w:t>
      </w:r>
      <w:r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获得者</w:t>
      </w:r>
      <w:r>
        <w:rPr>
          <w:rStyle w:val="10"/>
          <w:rFonts w:hint="eastAsia"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可</w:t>
      </w:r>
      <w:r>
        <w:rPr>
          <w:rStyle w:val="10"/>
          <w:rFonts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参加省赛选拔</w:t>
      </w:r>
      <w:r>
        <w:rPr>
          <w:rStyle w:val="10"/>
          <w:rFonts w:hint="eastAsia" w:ascii="宋体" w:hAnsi="宋体" w:cs="Arial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，不参加省赛选拔只能得三等奖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</w:pP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附件：1.吉首大学第</w:t>
      </w:r>
      <w:r>
        <w:rPr>
          <w:rStyle w:val="10"/>
          <w:rFonts w:hint="eastAsia" w:ascii="宋体" w:hAnsi="宋体" w:cs="宋体"/>
          <w:b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十</w:t>
      </w:r>
      <w:r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届企业模拟经营大赛报名表</w:t>
      </w:r>
    </w:p>
    <w:p>
      <w:pPr>
        <w:snapToGrid/>
        <w:spacing w:before="0" w:beforeAutospacing="0" w:after="0" w:afterAutospacing="0" w:line="360" w:lineRule="auto"/>
        <w:ind w:firstLine="1205" w:firstLineChars="500"/>
        <w:jc w:val="both"/>
        <w:textAlignment w:val="baseline"/>
        <w:rPr>
          <w:rStyle w:val="10"/>
          <w:rFonts w:ascii="仿宋_GB2312" w:hAnsi="宋体"/>
          <w:b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</w:pPr>
      <w:r>
        <w:rPr>
          <w:rStyle w:val="10"/>
          <w:rFonts w:ascii="仿宋_GB2312" w:hAnsi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2.</w:t>
      </w:r>
      <w:r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吉首大学第</w:t>
      </w:r>
      <w:r>
        <w:rPr>
          <w:rStyle w:val="10"/>
          <w:rFonts w:hint="eastAsia" w:ascii="宋体" w:hAnsi="宋体" w:cs="宋体"/>
          <w:b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十</w:t>
      </w:r>
      <w:r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届企业模拟经营大赛规则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Style w:val="10"/>
          <w:rFonts w:ascii="仿宋_GB2312" w:hAnsi="宋体"/>
          <w:b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</w:pP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Style w:val="10"/>
          <w:rFonts w:ascii="仿宋_GB2312" w:hAnsi="宋体"/>
          <w:b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</w:pP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Style w:val="10"/>
          <w:rFonts w:ascii="仿宋_GB2312" w:hAnsi="宋体"/>
          <w:b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</w:pP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Style w:val="10"/>
          <w:rFonts w:ascii="仿宋_GB2312" w:hAnsi="宋体"/>
          <w:b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10"/>
          <w:rFonts w:hint="eastAsia" w:ascii="仿宋_GB2312" w:hAnsi="宋体"/>
          <w:b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10"/>
          <w:rFonts w:hint="eastAsia" w:ascii="仿宋_GB2312" w:hAnsi="宋体"/>
          <w:b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/>
          <w:sz w:val="32"/>
          <w:szCs w:val="32"/>
        </w:rPr>
      </w:pPr>
      <w:r>
        <w:rPr>
          <w:rStyle w:val="10"/>
          <w:rFonts w:hint="eastAsia" w:ascii="仿宋_GB2312" w:hAnsi="宋体"/>
          <w:b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附件1：</w:t>
      </w:r>
      <w:r>
        <w:rPr>
          <w:rFonts w:hint="eastAsia" w:ascii="宋体" w:hAnsi="宋体"/>
          <w:b/>
          <w:sz w:val="32"/>
          <w:szCs w:val="32"/>
        </w:rPr>
        <w:t>吉首大学</w:t>
      </w:r>
      <w:r>
        <w:rPr>
          <w:rFonts w:hint="eastAsia" w:ascii="宋体" w:hAnsi="宋体"/>
          <w:b/>
          <w:sz w:val="32"/>
          <w:szCs w:val="32"/>
          <w:lang w:val="en-US" w:eastAsia="zh-CN"/>
        </w:rPr>
        <w:t>第十届企业模拟经营大赛校赛</w:t>
      </w:r>
      <w:r>
        <w:rPr>
          <w:rFonts w:hint="eastAsia" w:ascii="宋体" w:hAnsi="宋体"/>
          <w:b/>
          <w:sz w:val="32"/>
          <w:szCs w:val="32"/>
        </w:rPr>
        <w:t>报名表</w:t>
      </w:r>
    </w:p>
    <w:tbl>
      <w:tblPr>
        <w:tblStyle w:val="6"/>
        <w:tblpPr w:leftFromText="180" w:rightFromText="180" w:vertAnchor="page" w:horzAnchor="page" w:tblpX="1620" w:tblpY="2335"/>
        <w:tblW w:w="86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"/>
        <w:gridCol w:w="1259"/>
        <w:gridCol w:w="981"/>
        <w:gridCol w:w="980"/>
        <w:gridCol w:w="1260"/>
        <w:gridCol w:w="1681"/>
        <w:gridCol w:w="15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976" w:type="dxa"/>
            <w:vAlign w:val="center"/>
          </w:tcPr>
          <w:p>
            <w:pPr>
              <w:widowControl/>
              <w:ind w:left="0" w:leftChars="0" w:firstLine="0" w:firstLineChars="0"/>
              <w:jc w:val="both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姓  名</w:t>
            </w:r>
          </w:p>
        </w:tc>
        <w:tc>
          <w:tcPr>
            <w:tcW w:w="1259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</w:p>
        </w:tc>
        <w:tc>
          <w:tcPr>
            <w:tcW w:w="981" w:type="dxa"/>
            <w:vAlign w:val="center"/>
          </w:tcPr>
          <w:p>
            <w:pPr>
              <w:widowControl/>
              <w:ind w:left="0" w:leftChars="0" w:firstLine="0" w:firstLineChars="0"/>
              <w:jc w:val="both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性  别</w:t>
            </w:r>
          </w:p>
        </w:tc>
        <w:tc>
          <w:tcPr>
            <w:tcW w:w="980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widowControl/>
              <w:ind w:left="0" w:leftChars="0" w:firstLine="0" w:firstLineChars="0"/>
              <w:jc w:val="both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籍   贯</w:t>
            </w:r>
          </w:p>
        </w:tc>
        <w:tc>
          <w:tcPr>
            <w:tcW w:w="1681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</w:p>
        </w:tc>
        <w:tc>
          <w:tcPr>
            <w:tcW w:w="1542" w:type="dxa"/>
            <w:vMerge w:val="restart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照 片</w:t>
            </w:r>
          </w:p>
          <w:p>
            <w:pPr>
              <w:widowControl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（1寸照）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76" w:type="dxa"/>
            <w:vAlign w:val="center"/>
          </w:tcPr>
          <w:p>
            <w:pPr>
              <w:widowControl/>
              <w:ind w:left="0" w:leftChars="0" w:firstLine="0" w:firstLineChars="0"/>
              <w:jc w:val="both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院  系</w:t>
            </w:r>
          </w:p>
        </w:tc>
        <w:tc>
          <w:tcPr>
            <w:tcW w:w="1259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</w:p>
        </w:tc>
        <w:tc>
          <w:tcPr>
            <w:tcW w:w="981" w:type="dxa"/>
            <w:vAlign w:val="center"/>
          </w:tcPr>
          <w:p>
            <w:pPr>
              <w:widowControl/>
              <w:ind w:left="0" w:leftChars="0" w:firstLine="0" w:firstLineChars="0"/>
              <w:jc w:val="both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班  级</w:t>
            </w:r>
          </w:p>
        </w:tc>
        <w:tc>
          <w:tcPr>
            <w:tcW w:w="980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widowControl/>
              <w:ind w:left="0" w:leftChars="0" w:firstLine="0" w:firstLineChars="0"/>
              <w:jc w:val="both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联系联式</w:t>
            </w:r>
          </w:p>
        </w:tc>
        <w:tc>
          <w:tcPr>
            <w:tcW w:w="1681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</w:p>
        </w:tc>
        <w:tc>
          <w:tcPr>
            <w:tcW w:w="1542" w:type="dxa"/>
            <w:vMerge w:val="continue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976" w:type="dxa"/>
            <w:vAlign w:val="center"/>
          </w:tcPr>
          <w:p>
            <w:pPr>
              <w:widowControl/>
              <w:ind w:left="0" w:leftChars="0" w:firstLine="0" w:firstLineChars="0"/>
              <w:jc w:val="both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Q</w:t>
            </w:r>
            <w:r>
              <w:rPr>
                <w:rFonts w:ascii="仿宋" w:hAnsi="仿宋" w:eastAsia="仿宋" w:cs="仿宋"/>
                <w:kern w:val="0"/>
                <w:sz w:val="24"/>
              </w:rPr>
              <w:t xml:space="preserve"> </w:t>
            </w:r>
            <w:r>
              <w:rPr>
                <w:rFonts w:hint="eastAsia" w:ascii="仿宋" w:hAnsi="仿宋" w:eastAsia="仿宋" w:cs="仿宋"/>
                <w:kern w:val="0"/>
                <w:sz w:val="24"/>
              </w:rPr>
              <w:t>Q</w:t>
            </w:r>
          </w:p>
        </w:tc>
        <w:tc>
          <w:tcPr>
            <w:tcW w:w="1259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</w:p>
        </w:tc>
        <w:tc>
          <w:tcPr>
            <w:tcW w:w="981" w:type="dxa"/>
            <w:vAlign w:val="center"/>
          </w:tcPr>
          <w:p>
            <w:pPr>
              <w:widowControl/>
              <w:ind w:left="0" w:leftChars="0" w:firstLine="0" w:firstLineChars="0"/>
              <w:jc w:val="both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民  族</w:t>
            </w:r>
          </w:p>
        </w:tc>
        <w:tc>
          <w:tcPr>
            <w:tcW w:w="980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widowControl/>
              <w:ind w:left="0" w:leftChars="0" w:firstLine="0" w:firstLineChars="0"/>
              <w:jc w:val="both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邮   箱</w:t>
            </w:r>
          </w:p>
        </w:tc>
        <w:tc>
          <w:tcPr>
            <w:tcW w:w="1681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</w:p>
        </w:tc>
        <w:tc>
          <w:tcPr>
            <w:tcW w:w="1542" w:type="dxa"/>
            <w:vMerge w:val="continue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976" w:type="dxa"/>
            <w:vAlign w:val="center"/>
          </w:tcPr>
          <w:p>
            <w:pPr>
              <w:widowControl/>
              <w:ind w:left="0" w:leftChars="0" w:firstLine="0" w:firstLineChars="0"/>
              <w:jc w:val="both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预  科</w:t>
            </w:r>
          </w:p>
        </w:tc>
        <w:tc>
          <w:tcPr>
            <w:tcW w:w="2240" w:type="dxa"/>
            <w:gridSpan w:val="2"/>
            <w:vAlign w:val="center"/>
          </w:tcPr>
          <w:p>
            <w:pPr>
              <w:widowControl/>
              <w:ind w:left="0" w:leftChars="0" w:firstLine="0" w:firstLineChars="0"/>
              <w:jc w:val="both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是（   ）否（   ）</w:t>
            </w:r>
          </w:p>
        </w:tc>
        <w:tc>
          <w:tcPr>
            <w:tcW w:w="980" w:type="dxa"/>
            <w:vAlign w:val="center"/>
          </w:tcPr>
          <w:p>
            <w:pPr>
              <w:widowControl/>
              <w:ind w:left="0" w:leftChars="0" w:firstLine="0" w:firstLineChars="0"/>
              <w:jc w:val="both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特  长</w:t>
            </w:r>
          </w:p>
        </w:tc>
        <w:tc>
          <w:tcPr>
            <w:tcW w:w="2941" w:type="dxa"/>
            <w:gridSpan w:val="2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</w:p>
        </w:tc>
        <w:tc>
          <w:tcPr>
            <w:tcW w:w="1542" w:type="dxa"/>
            <w:vMerge w:val="continue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976" w:type="dxa"/>
            <w:vAlign w:val="center"/>
          </w:tcPr>
          <w:p>
            <w:pPr>
              <w:widowControl/>
              <w:ind w:left="0" w:leftChars="0" w:firstLine="0" w:firstLineChars="0"/>
              <w:jc w:val="both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个人简介</w:t>
            </w:r>
          </w:p>
          <w:p>
            <w:pPr>
              <w:widowControl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</w:p>
        </w:tc>
        <w:tc>
          <w:tcPr>
            <w:tcW w:w="7703" w:type="dxa"/>
            <w:gridSpan w:val="6"/>
            <w:vAlign w:val="center"/>
          </w:tcPr>
          <w:p>
            <w:pPr>
              <w:widowControl/>
              <w:jc w:val="left"/>
              <w:rPr>
                <w:rFonts w:ascii="仿宋" w:hAnsi="仿宋" w:eastAsia="仿宋" w:cs="仿宋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7" w:hRule="atLeast"/>
        </w:trPr>
        <w:tc>
          <w:tcPr>
            <w:tcW w:w="8679" w:type="dxa"/>
            <w:gridSpan w:val="7"/>
          </w:tcPr>
          <w:p>
            <w:pPr>
              <w:rPr>
                <w:rFonts w:ascii="宋体" w:hAnsi="宋体"/>
                <w:sz w:val="24"/>
                <w:szCs w:val="32"/>
              </w:rPr>
            </w:pPr>
            <w:r>
              <w:rPr>
                <w:rFonts w:hint="eastAsia" w:ascii="宋体" w:hAnsi="宋体"/>
                <w:sz w:val="24"/>
                <w:szCs w:val="32"/>
              </w:rPr>
              <w:t>注：1、</w:t>
            </w:r>
            <w:r>
              <w:fldChar w:fldCharType="begin"/>
            </w:r>
            <w:r>
              <w:instrText xml:space="preserve"> HYPERLINK "mailto:填好报名表后发至邮箱2489283048@qq.com" </w:instrText>
            </w:r>
            <w:r>
              <w:fldChar w:fldCharType="separate"/>
            </w:r>
            <w:r>
              <w:rPr>
                <w:rStyle w:val="9"/>
                <w:rFonts w:hint="eastAsia" w:ascii="宋体" w:hAnsi="宋体"/>
                <w:sz w:val="24"/>
                <w:szCs w:val="32"/>
              </w:rPr>
              <w:t>填好报名表后发至邮箱</w:t>
            </w:r>
            <w:r>
              <w:rPr>
                <w:rStyle w:val="9"/>
                <w:rFonts w:hint="eastAsia" w:ascii="宋体" w:hAnsi="宋体"/>
                <w:sz w:val="24"/>
                <w:szCs w:val="32"/>
                <w:lang w:val="en-US" w:eastAsia="zh-CN"/>
              </w:rPr>
              <w:t>3047660941</w:t>
            </w:r>
            <w:r>
              <w:rPr>
                <w:rStyle w:val="9"/>
                <w:rFonts w:hint="eastAsia" w:ascii="宋体" w:hAnsi="宋体"/>
                <w:sz w:val="24"/>
                <w:szCs w:val="32"/>
              </w:rPr>
              <w:t>@qq.com</w:t>
            </w:r>
            <w:r>
              <w:rPr>
                <w:rStyle w:val="9"/>
                <w:rFonts w:hint="eastAsia" w:ascii="宋体" w:hAnsi="宋体"/>
                <w:sz w:val="24"/>
                <w:szCs w:val="32"/>
              </w:rPr>
              <w:fldChar w:fldCharType="end"/>
            </w:r>
          </w:p>
          <w:p>
            <w:pPr>
              <w:ind w:firstLine="480" w:firstLineChars="200"/>
              <w:rPr>
                <w:rFonts w:hint="default" w:ascii="宋体" w:hAnsi="宋体" w:eastAsia="仿宋_GB2312"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32"/>
              </w:rPr>
              <w:t>2、请加QQ群：</w:t>
            </w:r>
            <w:r>
              <w:rPr>
                <w:rFonts w:hint="eastAsia" w:ascii="宋体" w:hAnsi="宋体"/>
                <w:sz w:val="24"/>
                <w:szCs w:val="32"/>
                <w:lang w:val="en-US" w:eastAsia="zh-CN"/>
              </w:rPr>
              <w:t>916403893</w:t>
            </w:r>
          </w:p>
          <w:p>
            <w:pPr>
              <w:rPr>
                <w:rFonts w:ascii="宋体" w:hAnsi="宋体"/>
                <w:sz w:val="24"/>
                <w:szCs w:val="32"/>
              </w:rPr>
            </w:pPr>
            <w:r>
              <w:rPr>
                <w:rFonts w:hint="eastAsia" w:ascii="宋体" w:hAnsi="宋体"/>
                <w:sz w:val="24"/>
                <w:szCs w:val="32"/>
              </w:rPr>
              <w:t xml:space="preserve">    4、</w:t>
            </w:r>
            <w:r>
              <w:rPr>
                <w:rFonts w:ascii="宋体" w:hAnsi="宋体"/>
                <w:sz w:val="24"/>
                <w:szCs w:val="32"/>
              </w:rPr>
              <w:t>群二维码</w:t>
            </w:r>
          </w:p>
          <w:p>
            <w:pPr>
              <w:tabs>
                <w:tab w:val="left" w:pos="705"/>
              </w:tabs>
              <w:jc w:val="center"/>
              <w:rPr>
                <w:rFonts w:hint="eastAsia" w:ascii="宋体" w:hAnsi="宋体" w:eastAsia="宋体"/>
                <w:sz w:val="24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szCs w:val="32"/>
                <w:lang w:eastAsia="zh-CN"/>
              </w:rPr>
              <w:drawing>
                <wp:inline distT="0" distB="0" distL="114300" distR="114300">
                  <wp:extent cx="1621790" cy="1616075"/>
                  <wp:effectExtent l="0" t="0" r="8890" b="14605"/>
                  <wp:docPr id="6" name="图片 6" descr="D{H8K9NEXG`4YMK_J{L%3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{H8K9NEXG`4YMK_J{L%38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numPr>
          <w:ilvl w:val="0"/>
          <w:numId w:val="0"/>
        </w:numPr>
        <w:bidi w:val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相关负责人及联系方式（QQ）：</w:t>
      </w:r>
    </w:p>
    <w:p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李建平：3047660941</w:t>
      </w:r>
    </w:p>
    <w:p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刘巧利：1851646813</w:t>
      </w:r>
    </w:p>
    <w:p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张雨鑫：2757503194</w:t>
      </w: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snapToGrid/>
        <w:spacing w:before="0" w:beforeAutospacing="0" w:after="0" w:afterAutospacing="0" w:line="240" w:lineRule="atLeast"/>
        <w:jc w:val="right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吉首大学教务处</w:t>
      </w:r>
    </w:p>
    <w:p>
      <w:pPr>
        <w:snapToGrid/>
        <w:spacing w:before="0" w:beforeAutospacing="0" w:after="0" w:afterAutospacing="0" w:line="240" w:lineRule="atLeast"/>
        <w:jc w:val="right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商学院</w:t>
      </w:r>
    </w:p>
    <w:p>
      <w:pPr>
        <w:snapToGrid/>
        <w:spacing w:before="0" w:beforeAutospacing="0" w:after="0" w:afterAutospacing="0" w:line="240" w:lineRule="atLeast"/>
        <w:jc w:val="right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商科科技创新与竞赛工作室</w:t>
      </w:r>
    </w:p>
    <w:p>
      <w:pPr>
        <w:ind w:firstLine="6720" w:firstLineChars="2800"/>
        <w:rPr>
          <w:rStyle w:val="10"/>
          <w:rFonts w:ascii="仿宋_GB2312" w:hAnsi="宋体"/>
          <w:b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202</w:t>
      </w: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1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年</w:t>
      </w: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10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月</w:t>
      </w:r>
      <w:r>
        <w:rPr>
          <w:rStyle w:val="10"/>
          <w:rFonts w:hint="eastAsia"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29</w:t>
      </w:r>
      <w:bookmarkStart w:id="0" w:name="_GoBack"/>
      <w:bookmarkEnd w:id="0"/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日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10"/>
          <w:rFonts w:hint="default" w:ascii="仿宋_GB2312" w:hAnsi="宋体"/>
          <w:b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</w:pPr>
      <w:r>
        <w:rPr>
          <w:rStyle w:val="10"/>
          <w:rFonts w:hint="eastAsia" w:ascii="仿宋_GB2312" w:hAnsi="宋体"/>
          <w:b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附件2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Style w:val="10"/>
          <w:rFonts w:hint="eastAsia" w:ascii="宋体" w:hAnsi="宋体" w:cs="宋体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</w:pPr>
      <w:r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吉首大学第</w:t>
      </w:r>
      <w:r>
        <w:rPr>
          <w:rStyle w:val="10"/>
          <w:rFonts w:hint="eastAsia" w:ascii="宋体" w:hAnsi="宋体" w:cs="宋体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十</w:t>
      </w:r>
      <w:r>
        <w:rPr>
          <w:rStyle w:val="10"/>
          <w:rFonts w:ascii="宋体" w:hAnsi="宋体" w:cs="宋体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届企业模拟经营大赛规则</w:t>
      </w:r>
      <w:r>
        <w:rPr>
          <w:rStyle w:val="10"/>
          <w:rFonts w:hint="eastAsia" w:ascii="宋体" w:hAnsi="宋体" w:cs="宋体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 xml:space="preserve">    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hint="eastAsia" w:ascii="宋体" w:hAnsi="宋体" w:cs="宋体"/>
          <w:b/>
          <w:bCs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（具体规则会有改变）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1、融资</w:t>
      </w:r>
    </w:p>
    <w:tbl>
      <w:tblPr>
        <w:tblStyle w:val="6"/>
        <w:tblW w:w="921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6"/>
        <w:gridCol w:w="1418"/>
        <w:gridCol w:w="1701"/>
        <w:gridCol w:w="2268"/>
        <w:gridCol w:w="25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贷款类型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贷款时间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贷款额度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年利息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还款方式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4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长期贷款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每年年初</w:t>
            </w:r>
          </w:p>
        </w:tc>
        <w:tc>
          <w:tcPr>
            <w:tcW w:w="17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所有长贷和短贷之和不能超过上年权益的</w:t>
            </w:r>
            <w:r>
              <w:rPr>
                <w:rStyle w:val="10"/>
                <w:rFonts w:ascii="宋体" w:hAnsi="宋体"/>
                <w:b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3</w:t>
            </w: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倍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10%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年初付息，到期还本；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短期贷款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每季度初</w:t>
            </w:r>
          </w:p>
        </w:tc>
        <w:tc>
          <w:tcPr>
            <w:tcW w:w="17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5%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到期一次还本付息；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资金贴现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任何时间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视应收款额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10%（1季，2季），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12.5%（3季，4季）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1、2期可以联合贴现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3、4期同理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6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库存拍卖</w:t>
            </w:r>
          </w:p>
        </w:tc>
        <w:tc>
          <w:tcPr>
            <w:tcW w:w="79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原材料八折，成品按成本价</w:t>
            </w:r>
          </w:p>
        </w:tc>
      </w:tr>
    </w:tbl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 xml:space="preserve">规则说明： 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hint="default"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 xml:space="preserve">(1)  长期和短期贷款信用额度 </w:t>
      </w:r>
    </w:p>
    <w:p>
      <w:pPr>
        <w:snapToGrid/>
        <w:spacing w:before="0" w:beforeAutospacing="0" w:after="0" w:afterAutospacing="0" w:line="360" w:lineRule="auto"/>
        <w:ind w:firstLine="480" w:firstLineChars="20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长短期贷款的总额度（包括已借但未到还款期的贷款）为上年权益总计的 3 倍，长期贷款、短期贷款必须为大于等于 10W 的整数申请。例：第一年所有者权益为358，第一年已借</w:t>
      </w:r>
      <w:r>
        <w:rPr>
          <w:rStyle w:val="10"/>
          <w:rFonts w:hint="eastAsia"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4</w:t>
      </w: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年期长贷504W（且未申请短期贷款），则第二年可贷款总额度为：358*3-504=570W。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 xml:space="preserve">(2)  贷款规则 </w:t>
      </w:r>
    </w:p>
    <w:p>
      <w:pPr>
        <w:snapToGrid/>
        <w:spacing w:before="0" w:beforeAutospacing="0" w:after="0" w:afterAutospacing="0" w:line="360" w:lineRule="auto"/>
        <w:ind w:left="480" w:hanging="48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a、 长期贷款每年必须支付利息，到期归还本金。长期贷款最多可贷</w:t>
      </w:r>
      <w:r>
        <w:rPr>
          <w:rStyle w:val="10"/>
          <w:rFonts w:ascii="宋体" w:hAnsi="宋体"/>
          <w:b/>
          <w:i w:val="0"/>
          <w:caps w:val="0"/>
          <w:color w:val="FF0000"/>
          <w:spacing w:val="0"/>
          <w:w w:val="100"/>
          <w:kern w:val="0"/>
          <w:sz w:val="24"/>
          <w:szCs w:val="24"/>
          <w:lang w:val="en-US" w:eastAsia="zh-CN" w:bidi="ar-SA"/>
        </w:rPr>
        <w:t>5</w:t>
      </w: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年。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 xml:space="preserve">b、结束年时，不要求归还没有到期的各类贷款。 </w:t>
      </w:r>
    </w:p>
    <w:p>
      <w:pPr>
        <w:snapToGrid/>
        <w:spacing w:before="0" w:beforeAutospacing="0" w:after="0" w:afterAutospacing="0" w:line="360" w:lineRule="auto"/>
        <w:ind w:left="480" w:hanging="48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c、短期贷款年限为1年，如果某一季度有短期贷款需要归还，且同时还拥有贷款额度时，必须先归还到期的短期贷款，才能申请新的短期贷款。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d、所有的贷款不允许提前还款。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e、企业间不允许私自融资，只允许企业向银行贷款，银行不提供高利贷。</w:t>
      </w:r>
    </w:p>
    <w:p>
      <w:pPr>
        <w:snapToGrid/>
        <w:spacing w:before="0" w:beforeAutospacing="0" w:after="0" w:afterAutospacing="0" w:line="360" w:lineRule="auto"/>
        <w:ind w:left="480" w:hanging="48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f、 贷款利息计算时四舍五入。例：短期贷款210W，则利息为：210*5%=10.5W，四舍五入，实际支付利息为11W。</w:t>
      </w:r>
    </w:p>
    <w:p>
      <w:pPr>
        <w:snapToGrid/>
        <w:spacing w:before="0" w:beforeAutospacing="0" w:after="0" w:afterAutospacing="0" w:line="360" w:lineRule="auto"/>
        <w:ind w:left="480" w:hanging="48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g、 长期贷款利息是根据长期贷款的贷款总额乘以利率计算。例：第1年申请504W长期贷款，第2年申请204W长期贷款，则第3年所需要支付的长期贷款利息=（504+204）*10%=70.8W，四舍五入，实际支付利息为71W。</w:t>
      </w:r>
    </w:p>
    <w:p>
      <w:pPr>
        <w:snapToGrid/>
        <w:spacing w:before="0" w:beforeAutospacing="0" w:after="0" w:afterAutospacing="0" w:line="360" w:lineRule="auto"/>
        <w:ind w:left="480" w:hanging="48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(3)  出售库存规则</w:t>
      </w:r>
    </w:p>
    <w:p>
      <w:pPr>
        <w:snapToGrid/>
        <w:spacing w:before="0" w:beforeAutospacing="0" w:after="0" w:afterAutospacing="0" w:line="360" w:lineRule="auto"/>
        <w:ind w:left="480" w:hanging="48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a、原材料打八折出售。例：出售1个原材料获得10*0.8=8W。</w:t>
      </w:r>
    </w:p>
    <w:p>
      <w:pPr>
        <w:snapToGrid/>
        <w:spacing w:before="0" w:beforeAutospacing="0" w:after="0" w:afterAutospacing="0" w:line="360" w:lineRule="auto"/>
        <w:ind w:left="480" w:hanging="48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b、出售产成品按产品的成本价计算。例：出售1个P2获得1*30=30W。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2、厂房</w:t>
      </w: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 xml:space="preserve">； </w:t>
      </w:r>
    </w:p>
    <w:tbl>
      <w:tblPr>
        <w:tblStyle w:val="6"/>
        <w:tblW w:w="87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4"/>
        <w:gridCol w:w="1857"/>
        <w:gridCol w:w="1685"/>
        <w:gridCol w:w="1858"/>
        <w:gridCol w:w="948"/>
        <w:gridCol w:w="9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0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名称</w:t>
            </w:r>
          </w:p>
        </w:tc>
        <w:tc>
          <w:tcPr>
            <w:tcW w:w="1857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购买价格</w:t>
            </w:r>
          </w:p>
        </w:tc>
        <w:tc>
          <w:tcPr>
            <w:tcW w:w="168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租金</w:t>
            </w:r>
          </w:p>
        </w:tc>
        <w:tc>
          <w:tcPr>
            <w:tcW w:w="185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出售价格</w:t>
            </w:r>
          </w:p>
        </w:tc>
        <w:tc>
          <w:tcPr>
            <w:tcW w:w="94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容量</w:t>
            </w:r>
          </w:p>
        </w:tc>
        <w:tc>
          <w:tcPr>
            <w:tcW w:w="94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分值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0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大厂房</w:t>
            </w:r>
          </w:p>
        </w:tc>
        <w:tc>
          <w:tcPr>
            <w:tcW w:w="1857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400W</w:t>
            </w:r>
          </w:p>
        </w:tc>
        <w:tc>
          <w:tcPr>
            <w:tcW w:w="168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40W/年</w:t>
            </w:r>
          </w:p>
        </w:tc>
        <w:tc>
          <w:tcPr>
            <w:tcW w:w="185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400W</w:t>
            </w:r>
          </w:p>
        </w:tc>
        <w:tc>
          <w:tcPr>
            <w:tcW w:w="94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94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0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中厂房</w:t>
            </w:r>
          </w:p>
        </w:tc>
        <w:tc>
          <w:tcPr>
            <w:tcW w:w="1857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300W</w:t>
            </w:r>
          </w:p>
        </w:tc>
        <w:tc>
          <w:tcPr>
            <w:tcW w:w="168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30W/年</w:t>
            </w:r>
          </w:p>
        </w:tc>
        <w:tc>
          <w:tcPr>
            <w:tcW w:w="185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300W</w:t>
            </w:r>
          </w:p>
        </w:tc>
        <w:tc>
          <w:tcPr>
            <w:tcW w:w="94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94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0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小厂房</w:t>
            </w:r>
          </w:p>
        </w:tc>
        <w:tc>
          <w:tcPr>
            <w:tcW w:w="1857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20</w:t>
            </w: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0W</w:t>
            </w:r>
          </w:p>
        </w:tc>
        <w:tc>
          <w:tcPr>
            <w:tcW w:w="168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20</w:t>
            </w: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W/年</w:t>
            </w:r>
          </w:p>
        </w:tc>
        <w:tc>
          <w:tcPr>
            <w:tcW w:w="185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180W</w:t>
            </w:r>
          </w:p>
        </w:tc>
        <w:tc>
          <w:tcPr>
            <w:tcW w:w="94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94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 w:hRule="atLeast"/>
        </w:trPr>
        <w:tc>
          <w:tcPr>
            <w:tcW w:w="8700" w:type="dxa"/>
            <w:gridSpan w:val="6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厂房出售得到4个账期的应收款，紧急情况下可厂房贴现，直接得到现金。</w:t>
            </w:r>
          </w:p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厂房租入后，一年后可作租转买、退租等处理，续租系统自动处理。</w:t>
            </w:r>
          </w:p>
        </w:tc>
      </w:tr>
    </w:tbl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 xml:space="preserve">规则说明： </w:t>
      </w:r>
    </w:p>
    <w:p>
      <w:pPr>
        <w:tabs>
          <w:tab w:val="left" w:pos="1620"/>
        </w:tabs>
        <w:snapToGrid/>
        <w:spacing w:before="0" w:beforeAutospacing="0" w:after="0" w:afterAutospacing="0" w:line="360" w:lineRule="auto"/>
        <w:ind w:left="360" w:hanging="36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a、租用或购买厂房可以在任何季度进行。如果决定租用厂房或者厂房买转租，租金在开始租用的季度交付，即从现金处取等量钱币，放在租金费用处。一年租期到期时，如果决定续租，需重复以上动作。</w:t>
      </w:r>
    </w:p>
    <w:p>
      <w:pPr>
        <w:snapToGrid/>
        <w:spacing w:before="0" w:beforeAutospacing="0" w:after="0" w:afterAutospacing="0" w:line="360" w:lineRule="auto"/>
        <w:ind w:left="360" w:hanging="36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b、厂房租入后，一年后可作租转买、退租等处理（例：第一年第一季度租厂房，则以后每一年的第一季度末“厂房处理”均可“租转买”），如果到期没有选择“租转买”，系统自动做续租处理，租金在“当季结束”时和“行政管理费”一并扣除。</w:t>
      </w:r>
    </w:p>
    <w:p>
      <w:pPr>
        <w:snapToGrid/>
        <w:spacing w:before="0" w:beforeAutospacing="0" w:after="0" w:afterAutospacing="0" w:line="360" w:lineRule="auto"/>
        <w:ind w:left="360" w:hanging="36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c、要新建或租赁生产线，必须购买或租用厂房，没有租用或购买厂房不能新建或租赁生产线。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d、如果厂房中没有生产线，可以选择厂房退租。</w:t>
      </w:r>
    </w:p>
    <w:p>
      <w:pPr>
        <w:snapToGrid/>
        <w:spacing w:before="0" w:beforeAutospacing="0" w:after="0" w:afterAutospacing="0" w:line="360" w:lineRule="auto"/>
        <w:ind w:left="360" w:hanging="36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e、厂房出售得到4个账期的应收款，紧急情况下可进行厂房贴现（4季贴现），直接得到现金，如厂房中有生产线，同时要扣租金。</w:t>
      </w:r>
    </w:p>
    <w:p>
      <w:pPr>
        <w:snapToGrid/>
        <w:spacing w:before="0" w:beforeAutospacing="0" w:after="0" w:afterAutospacing="0" w:line="360" w:lineRule="auto"/>
        <w:ind w:left="360" w:hanging="36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f、厂房使用可以任意组合，但总数不能超过四个；如租四个小厂房或买四个大厂房或租一个大厂房买三个中厂房。</w:t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auto"/>
        <w:ind w:left="360" w:hanging="36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生产线</w:t>
      </w: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 xml:space="preserve"> </w:t>
      </w:r>
    </w:p>
    <w:tbl>
      <w:tblPr>
        <w:tblStyle w:val="6"/>
        <w:tblW w:w="921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4"/>
        <w:gridCol w:w="814"/>
        <w:gridCol w:w="1012"/>
        <w:gridCol w:w="815"/>
        <w:gridCol w:w="814"/>
        <w:gridCol w:w="1013"/>
        <w:gridCol w:w="815"/>
        <w:gridCol w:w="738"/>
        <w:gridCol w:w="540"/>
        <w:gridCol w:w="615"/>
        <w:gridCol w:w="814"/>
        <w:gridCol w:w="6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595" w:hRule="atLeast"/>
        </w:trPr>
        <w:tc>
          <w:tcPr>
            <w:tcW w:w="6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名称</w:t>
            </w:r>
          </w:p>
        </w:tc>
        <w:tc>
          <w:tcPr>
            <w:tcW w:w="8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投资总额</w:t>
            </w:r>
          </w:p>
        </w:tc>
        <w:tc>
          <w:tcPr>
            <w:tcW w:w="1012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每季投资额</w:t>
            </w:r>
          </w:p>
        </w:tc>
        <w:tc>
          <w:tcPr>
            <w:tcW w:w="81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安装周期</w:t>
            </w:r>
          </w:p>
        </w:tc>
        <w:tc>
          <w:tcPr>
            <w:tcW w:w="8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生产周期</w:t>
            </w:r>
          </w:p>
        </w:tc>
        <w:tc>
          <w:tcPr>
            <w:tcW w:w="101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总转产费用</w:t>
            </w:r>
          </w:p>
        </w:tc>
        <w:tc>
          <w:tcPr>
            <w:tcW w:w="81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转产周期</w:t>
            </w:r>
          </w:p>
        </w:tc>
        <w:tc>
          <w:tcPr>
            <w:tcW w:w="73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维修费</w:t>
            </w:r>
          </w:p>
        </w:tc>
        <w:tc>
          <w:tcPr>
            <w:tcW w:w="54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残值</w:t>
            </w:r>
          </w:p>
        </w:tc>
        <w:tc>
          <w:tcPr>
            <w:tcW w:w="61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折旧费</w:t>
            </w:r>
          </w:p>
        </w:tc>
        <w:tc>
          <w:tcPr>
            <w:tcW w:w="8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折旧时间</w:t>
            </w:r>
          </w:p>
        </w:tc>
        <w:tc>
          <w:tcPr>
            <w:tcW w:w="609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分值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595" w:hRule="atLeast"/>
        </w:trPr>
        <w:tc>
          <w:tcPr>
            <w:tcW w:w="6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手工线</w:t>
            </w:r>
          </w:p>
        </w:tc>
        <w:tc>
          <w:tcPr>
            <w:tcW w:w="8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240" w:firstLineChars="10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35W</w:t>
            </w:r>
          </w:p>
        </w:tc>
        <w:tc>
          <w:tcPr>
            <w:tcW w:w="1012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240" w:firstLineChars="10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35W</w:t>
            </w:r>
          </w:p>
        </w:tc>
        <w:tc>
          <w:tcPr>
            <w:tcW w:w="81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240" w:firstLineChars="10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0季</w:t>
            </w:r>
          </w:p>
        </w:tc>
        <w:tc>
          <w:tcPr>
            <w:tcW w:w="8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240" w:firstLineChars="10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2季</w:t>
            </w:r>
          </w:p>
        </w:tc>
        <w:tc>
          <w:tcPr>
            <w:tcW w:w="101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0W</w:t>
            </w:r>
          </w:p>
        </w:tc>
        <w:tc>
          <w:tcPr>
            <w:tcW w:w="81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240" w:firstLineChars="10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0季</w:t>
            </w:r>
          </w:p>
        </w:tc>
        <w:tc>
          <w:tcPr>
            <w:tcW w:w="73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5W/年</w:t>
            </w:r>
          </w:p>
        </w:tc>
        <w:tc>
          <w:tcPr>
            <w:tcW w:w="54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5W</w:t>
            </w:r>
          </w:p>
        </w:tc>
        <w:tc>
          <w:tcPr>
            <w:tcW w:w="61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</w:t>
            </w:r>
          </w:p>
        </w:tc>
        <w:tc>
          <w:tcPr>
            <w:tcW w:w="8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3</w:t>
            </w: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年</w:t>
            </w:r>
          </w:p>
        </w:tc>
        <w:tc>
          <w:tcPr>
            <w:tcW w:w="609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240" w:firstLineChars="100"/>
              <w:jc w:val="both"/>
              <w:textAlignment w:val="baseline"/>
              <w:rPr>
                <w:rStyle w:val="10"/>
                <w:rFonts w:hint="default"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6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自动线</w:t>
            </w:r>
          </w:p>
        </w:tc>
        <w:tc>
          <w:tcPr>
            <w:tcW w:w="8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240" w:firstLineChars="10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150W</w:t>
            </w:r>
          </w:p>
        </w:tc>
        <w:tc>
          <w:tcPr>
            <w:tcW w:w="1012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240" w:firstLineChars="10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50W</w:t>
            </w:r>
          </w:p>
        </w:tc>
        <w:tc>
          <w:tcPr>
            <w:tcW w:w="81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240" w:firstLineChars="10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3季</w:t>
            </w:r>
          </w:p>
        </w:tc>
        <w:tc>
          <w:tcPr>
            <w:tcW w:w="8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240" w:firstLineChars="10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1季</w:t>
            </w:r>
          </w:p>
        </w:tc>
        <w:tc>
          <w:tcPr>
            <w:tcW w:w="101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20W</w:t>
            </w:r>
          </w:p>
        </w:tc>
        <w:tc>
          <w:tcPr>
            <w:tcW w:w="81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240" w:firstLineChars="10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1季</w:t>
            </w:r>
          </w:p>
        </w:tc>
        <w:tc>
          <w:tcPr>
            <w:tcW w:w="73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20W/年</w:t>
            </w:r>
          </w:p>
        </w:tc>
        <w:tc>
          <w:tcPr>
            <w:tcW w:w="54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30W</w:t>
            </w:r>
          </w:p>
        </w:tc>
        <w:tc>
          <w:tcPr>
            <w:tcW w:w="61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30W</w:t>
            </w:r>
          </w:p>
        </w:tc>
        <w:tc>
          <w:tcPr>
            <w:tcW w:w="8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4</w:t>
            </w: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年</w:t>
            </w:r>
          </w:p>
        </w:tc>
        <w:tc>
          <w:tcPr>
            <w:tcW w:w="609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240" w:firstLineChars="10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6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柔性线</w:t>
            </w:r>
          </w:p>
        </w:tc>
        <w:tc>
          <w:tcPr>
            <w:tcW w:w="8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240" w:firstLineChars="10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200W</w:t>
            </w:r>
          </w:p>
        </w:tc>
        <w:tc>
          <w:tcPr>
            <w:tcW w:w="1012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240" w:firstLineChars="10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50W</w:t>
            </w:r>
          </w:p>
        </w:tc>
        <w:tc>
          <w:tcPr>
            <w:tcW w:w="81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4季</w:t>
            </w:r>
          </w:p>
        </w:tc>
        <w:tc>
          <w:tcPr>
            <w:tcW w:w="8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1季</w:t>
            </w:r>
          </w:p>
        </w:tc>
        <w:tc>
          <w:tcPr>
            <w:tcW w:w="101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0W</w:t>
            </w:r>
          </w:p>
        </w:tc>
        <w:tc>
          <w:tcPr>
            <w:tcW w:w="81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0季</w:t>
            </w:r>
          </w:p>
        </w:tc>
        <w:tc>
          <w:tcPr>
            <w:tcW w:w="73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20W/年</w:t>
            </w:r>
          </w:p>
        </w:tc>
        <w:tc>
          <w:tcPr>
            <w:tcW w:w="54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40W</w:t>
            </w:r>
          </w:p>
        </w:tc>
        <w:tc>
          <w:tcPr>
            <w:tcW w:w="61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40W</w:t>
            </w:r>
          </w:p>
        </w:tc>
        <w:tc>
          <w:tcPr>
            <w:tcW w:w="8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4</w:t>
            </w: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年</w:t>
            </w:r>
          </w:p>
        </w:tc>
        <w:tc>
          <w:tcPr>
            <w:tcW w:w="609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6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租赁线</w:t>
            </w:r>
          </w:p>
        </w:tc>
        <w:tc>
          <w:tcPr>
            <w:tcW w:w="8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240" w:firstLineChars="10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0W</w:t>
            </w:r>
          </w:p>
        </w:tc>
        <w:tc>
          <w:tcPr>
            <w:tcW w:w="1012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240" w:firstLineChars="10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0W</w:t>
            </w:r>
          </w:p>
        </w:tc>
        <w:tc>
          <w:tcPr>
            <w:tcW w:w="81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0季</w:t>
            </w:r>
          </w:p>
        </w:tc>
        <w:tc>
          <w:tcPr>
            <w:tcW w:w="8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1季</w:t>
            </w:r>
          </w:p>
        </w:tc>
        <w:tc>
          <w:tcPr>
            <w:tcW w:w="101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20W</w:t>
            </w:r>
          </w:p>
        </w:tc>
        <w:tc>
          <w:tcPr>
            <w:tcW w:w="81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0季</w:t>
            </w:r>
          </w:p>
        </w:tc>
        <w:tc>
          <w:tcPr>
            <w:tcW w:w="73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65W/年</w:t>
            </w:r>
          </w:p>
        </w:tc>
        <w:tc>
          <w:tcPr>
            <w:tcW w:w="54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75W</w:t>
            </w:r>
          </w:p>
        </w:tc>
        <w:tc>
          <w:tcPr>
            <w:tcW w:w="61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0W</w:t>
            </w:r>
          </w:p>
        </w:tc>
        <w:tc>
          <w:tcPr>
            <w:tcW w:w="81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0</w:t>
            </w: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年</w:t>
            </w:r>
          </w:p>
        </w:tc>
        <w:tc>
          <w:tcPr>
            <w:tcW w:w="609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7" w:hRule="atLeast"/>
        </w:trPr>
        <w:tc>
          <w:tcPr>
            <w:tcW w:w="9213" w:type="dxa"/>
            <w:gridSpan w:val="12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*安装周期为0,表示即买即用</w:t>
            </w:r>
          </w:p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*计算投资总额时,若安装周期为0,则按1算</w:t>
            </w:r>
          </w:p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*不论何时出售生产线,价格为残值,净值与残值之差计入损失</w:t>
            </w:r>
          </w:p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*只有空闲的生产线方可转产</w:t>
            </w:r>
          </w:p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*当年建成生产线需要交维修费</w:t>
            </w:r>
          </w:p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*折旧(平均年限法):建成当年不提折旧</w:t>
            </w:r>
          </w:p>
        </w:tc>
      </w:tr>
    </w:tbl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</w:p>
    <w:p>
      <w:pPr>
        <w:snapToGrid/>
        <w:spacing w:before="0" w:beforeAutospacing="0" w:after="0" w:afterAutospacing="0" w:line="360" w:lineRule="auto"/>
        <w:ind w:left="600" w:hanging="60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 xml:space="preserve">（1）在“系统”中新建生产线，需先选择厂房，然后选择生产线的类型，特别要确定生产产品的类型；生产产品一经确定，本生产线所生产的产品便不能更换，如需更换，须在建成后，进行转产处理； </w:t>
      </w:r>
    </w:p>
    <w:p>
      <w:pPr>
        <w:snapToGrid/>
        <w:spacing w:before="0" w:beforeAutospacing="0" w:after="0" w:afterAutospacing="0" w:line="360" w:lineRule="auto"/>
        <w:ind w:left="600" w:hanging="60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（2）每次操作可建一条生产线，同一季度可重复操作多次，直至生产线位置全部铺满。自动线和柔性线待最后一期投资到位后，必须到下一季度才算安装完成，允许投入使用。超级手工线和租赁线当季购入（或租入）当季即可使用。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 xml:space="preserve">（3）新建生产线一经确认，即刻进入第一期在建，当季便自动扣除现金。 </w:t>
      </w:r>
    </w:p>
    <w:p>
      <w:pPr>
        <w:snapToGrid/>
        <w:spacing w:before="0" w:beforeAutospacing="0" w:after="0" w:afterAutospacing="0" w:line="360" w:lineRule="auto"/>
        <w:ind w:left="600" w:hanging="6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（4）不论何时出售生产线，从生产线净值中取出相当于残值的部分计入现金，净值与残值之差计入损失；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（5）只有空的并且已经建成的生产线方可转产；</w:t>
      </w:r>
    </w:p>
    <w:p>
      <w:pPr>
        <w:snapToGrid/>
        <w:spacing w:before="0" w:beforeAutospacing="0" w:after="0" w:afterAutospacing="0" w:line="360" w:lineRule="auto"/>
        <w:ind w:left="600" w:hanging="6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（6）当年建成的生产线、转产中生产线都要交维修费；凡已出售的生产线（包括退租的租赁线）和新购正在安装的生产线不交纳维护费。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（7）生产线不允许在不同厂房移动；</w:t>
      </w:r>
    </w:p>
    <w:p>
      <w:pPr>
        <w:snapToGrid/>
        <w:spacing w:before="0" w:beforeAutospacing="0" w:after="0" w:afterAutospacing="0" w:line="360" w:lineRule="auto"/>
        <w:ind w:left="600" w:hanging="6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（8）</w:t>
      </w:r>
      <w:r>
        <w:rPr>
          <w:rStyle w:val="10"/>
          <w:rFonts w:ascii="宋体" w:hAnsi="宋体"/>
          <w:b/>
          <w:i w:val="0"/>
          <w:caps w:val="0"/>
          <w:color w:val="FF0000"/>
          <w:spacing w:val="0"/>
          <w:w w:val="100"/>
          <w:kern w:val="2"/>
          <w:sz w:val="24"/>
          <w:szCs w:val="24"/>
          <w:lang w:val="en-US" w:eastAsia="zh-CN" w:bidi="ar-SA"/>
        </w:rPr>
        <w:t>租赁线不需要购置费，不用安装周期，不提折旧，维修费可以理解为租金；以租赁线为例，其在出售时(可理解为退租)，系统将扣85W/条 的清理费用，记入损失；该类生产线不计分；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10"/>
          <w:rFonts w:ascii="宋体" w:hAnsi="宋体" w:cs="Times New Roman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 w:cs="Times New Roman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(9)生产线折旧(平均年限法)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当年建成生产线当年不提折旧，当净值等于残值时生产线不再计提折旧，但可以继续使用。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4、产品研发</w:t>
      </w: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 xml:space="preserve"> </w:t>
      </w:r>
    </w:p>
    <w:p>
      <w:pPr>
        <w:snapToGrid/>
        <w:spacing w:before="0" w:beforeAutospacing="0" w:after="0" w:afterAutospacing="0" w:line="360" w:lineRule="auto"/>
        <w:ind w:left="787" w:leftChars="328" w:firstLine="480" w:firstLineChars="2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要想生产某种产品，先要获得该产品的生产许可证。而要获得生产许可，则必须经过产品研发。P1、P2、P3、P4、P5 产品都需要研发后才能获得生产许可。研发需要分期投入研发费用。投资规则如下表：</w:t>
      </w:r>
    </w:p>
    <w:p>
      <w:pPr>
        <w:snapToGrid/>
        <w:spacing w:before="0" w:beforeAutospacing="0" w:after="0" w:afterAutospacing="0" w:line="360" w:lineRule="auto"/>
        <w:ind w:left="787" w:leftChars="328" w:firstLine="480" w:firstLineChars="2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</w:p>
    <w:tbl>
      <w:tblPr>
        <w:tblStyle w:val="6"/>
        <w:tblW w:w="82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6"/>
        <w:gridCol w:w="1133"/>
        <w:gridCol w:w="1250"/>
        <w:gridCol w:w="943"/>
        <w:gridCol w:w="1250"/>
        <w:gridCol w:w="637"/>
        <w:gridCol w:w="23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636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名称</w:t>
            </w:r>
          </w:p>
        </w:tc>
        <w:tc>
          <w:tcPr>
            <w:tcW w:w="113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开发费</w:t>
            </w:r>
          </w:p>
        </w:tc>
        <w:tc>
          <w:tcPr>
            <w:tcW w:w="125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开发时间</w:t>
            </w:r>
          </w:p>
        </w:tc>
        <w:tc>
          <w:tcPr>
            <w:tcW w:w="94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加工费</w:t>
            </w:r>
          </w:p>
        </w:tc>
        <w:tc>
          <w:tcPr>
            <w:tcW w:w="125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直接成本</w:t>
            </w:r>
          </w:p>
        </w:tc>
        <w:tc>
          <w:tcPr>
            <w:tcW w:w="637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分值</w:t>
            </w:r>
          </w:p>
        </w:tc>
        <w:tc>
          <w:tcPr>
            <w:tcW w:w="2391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产品组成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576" w:hRule="atLeast"/>
        </w:trPr>
        <w:tc>
          <w:tcPr>
            <w:tcW w:w="636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P1</w:t>
            </w:r>
          </w:p>
        </w:tc>
        <w:tc>
          <w:tcPr>
            <w:tcW w:w="113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10W/季</w:t>
            </w:r>
          </w:p>
        </w:tc>
        <w:tc>
          <w:tcPr>
            <w:tcW w:w="125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2季</w:t>
            </w:r>
          </w:p>
        </w:tc>
        <w:tc>
          <w:tcPr>
            <w:tcW w:w="94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</w:t>
            </w:r>
          </w:p>
        </w:tc>
        <w:tc>
          <w:tcPr>
            <w:tcW w:w="125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20W</w:t>
            </w:r>
          </w:p>
        </w:tc>
        <w:tc>
          <w:tcPr>
            <w:tcW w:w="637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8</w:t>
            </w:r>
          </w:p>
        </w:tc>
        <w:tc>
          <w:tcPr>
            <w:tcW w:w="2391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R1*1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636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P2</w:t>
            </w:r>
          </w:p>
        </w:tc>
        <w:tc>
          <w:tcPr>
            <w:tcW w:w="113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10W/季</w:t>
            </w:r>
          </w:p>
        </w:tc>
        <w:tc>
          <w:tcPr>
            <w:tcW w:w="125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3季</w:t>
            </w:r>
          </w:p>
        </w:tc>
        <w:tc>
          <w:tcPr>
            <w:tcW w:w="94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</w:t>
            </w:r>
          </w:p>
        </w:tc>
        <w:tc>
          <w:tcPr>
            <w:tcW w:w="125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30W</w:t>
            </w:r>
          </w:p>
        </w:tc>
        <w:tc>
          <w:tcPr>
            <w:tcW w:w="637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9</w:t>
            </w:r>
          </w:p>
        </w:tc>
        <w:tc>
          <w:tcPr>
            <w:tcW w:w="2391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R2*1 +R3*1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636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P3</w:t>
            </w:r>
          </w:p>
        </w:tc>
        <w:tc>
          <w:tcPr>
            <w:tcW w:w="113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10W/季</w:t>
            </w:r>
          </w:p>
        </w:tc>
        <w:tc>
          <w:tcPr>
            <w:tcW w:w="125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4季</w:t>
            </w:r>
          </w:p>
        </w:tc>
        <w:tc>
          <w:tcPr>
            <w:tcW w:w="94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</w:t>
            </w:r>
          </w:p>
        </w:tc>
        <w:tc>
          <w:tcPr>
            <w:tcW w:w="125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40W</w:t>
            </w:r>
          </w:p>
        </w:tc>
        <w:tc>
          <w:tcPr>
            <w:tcW w:w="637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</w:t>
            </w:r>
          </w:p>
        </w:tc>
        <w:tc>
          <w:tcPr>
            <w:tcW w:w="2391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R1*1 +R3*1 +R4*1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576" w:hRule="atLeast"/>
        </w:trPr>
        <w:tc>
          <w:tcPr>
            <w:tcW w:w="636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P4</w:t>
            </w:r>
          </w:p>
        </w:tc>
        <w:tc>
          <w:tcPr>
            <w:tcW w:w="113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10W/季</w:t>
            </w:r>
          </w:p>
        </w:tc>
        <w:tc>
          <w:tcPr>
            <w:tcW w:w="125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4</w:t>
            </w: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季</w:t>
            </w:r>
          </w:p>
        </w:tc>
        <w:tc>
          <w:tcPr>
            <w:tcW w:w="94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</w:t>
            </w:r>
          </w:p>
        </w:tc>
        <w:tc>
          <w:tcPr>
            <w:tcW w:w="125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50W</w:t>
            </w:r>
          </w:p>
        </w:tc>
        <w:tc>
          <w:tcPr>
            <w:tcW w:w="637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11</w:t>
            </w:r>
          </w:p>
        </w:tc>
        <w:tc>
          <w:tcPr>
            <w:tcW w:w="2391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P1*1+ R2*1 +R4*1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576" w:hRule="atLeast"/>
        </w:trPr>
        <w:tc>
          <w:tcPr>
            <w:tcW w:w="636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P5</w:t>
            </w:r>
          </w:p>
        </w:tc>
        <w:tc>
          <w:tcPr>
            <w:tcW w:w="113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12W/季</w:t>
            </w:r>
          </w:p>
        </w:tc>
        <w:tc>
          <w:tcPr>
            <w:tcW w:w="125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5季</w:t>
            </w:r>
          </w:p>
        </w:tc>
        <w:tc>
          <w:tcPr>
            <w:tcW w:w="94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</w:t>
            </w:r>
          </w:p>
        </w:tc>
        <w:tc>
          <w:tcPr>
            <w:tcW w:w="1250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60W</w:t>
            </w:r>
          </w:p>
        </w:tc>
        <w:tc>
          <w:tcPr>
            <w:tcW w:w="637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12</w:t>
            </w:r>
          </w:p>
        </w:tc>
        <w:tc>
          <w:tcPr>
            <w:tcW w:w="2391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R1*1+ R3*1 +P2*1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870" w:hRule="atLeast"/>
        </w:trPr>
        <w:tc>
          <w:tcPr>
            <w:tcW w:w="8240" w:type="dxa"/>
            <w:gridSpan w:val="7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开发费用在季末支付，不允许加速投资，但可以中断投资。</w:t>
            </w:r>
          </w:p>
        </w:tc>
      </w:tr>
    </w:tbl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产品研发可以中断或终止，但不允许超前或集中投入。已投资的研发费不能回收。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如果开发没有完成，“系统”不允许开工生产。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 xml:space="preserve">5、ISO资格认证 </w:t>
      </w:r>
    </w:p>
    <w:tbl>
      <w:tblPr>
        <w:tblStyle w:val="6"/>
        <w:tblW w:w="8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75"/>
        <w:gridCol w:w="2074"/>
        <w:gridCol w:w="2076"/>
        <w:gridCol w:w="20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207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名称</w:t>
            </w:r>
          </w:p>
        </w:tc>
        <w:tc>
          <w:tcPr>
            <w:tcW w:w="207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开发费</w:t>
            </w:r>
          </w:p>
        </w:tc>
        <w:tc>
          <w:tcPr>
            <w:tcW w:w="2076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开发时间</w:t>
            </w:r>
          </w:p>
        </w:tc>
        <w:tc>
          <w:tcPr>
            <w:tcW w:w="207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分值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207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ISO9000</w:t>
            </w:r>
          </w:p>
        </w:tc>
        <w:tc>
          <w:tcPr>
            <w:tcW w:w="207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15W/年</w:t>
            </w:r>
          </w:p>
        </w:tc>
        <w:tc>
          <w:tcPr>
            <w:tcW w:w="2076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2年</w:t>
            </w:r>
          </w:p>
        </w:tc>
        <w:tc>
          <w:tcPr>
            <w:tcW w:w="207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207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ISO14000</w:t>
            </w:r>
          </w:p>
        </w:tc>
        <w:tc>
          <w:tcPr>
            <w:tcW w:w="207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10W/年</w:t>
            </w:r>
          </w:p>
        </w:tc>
        <w:tc>
          <w:tcPr>
            <w:tcW w:w="2076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3年</w:t>
            </w:r>
          </w:p>
        </w:tc>
        <w:tc>
          <w:tcPr>
            <w:tcW w:w="207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7" w:hRule="atLeast"/>
        </w:trPr>
        <w:tc>
          <w:tcPr>
            <w:tcW w:w="8300" w:type="dxa"/>
            <w:gridSpan w:val="4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开发费用在年末支付，不允许加速投资，但可以中断投资。</w:t>
            </w:r>
          </w:p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开发完成后，领取相应的资格证。</w:t>
            </w:r>
          </w:p>
        </w:tc>
      </w:tr>
    </w:tbl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无须交维护费，中途停止使用，也可继续拥有资格并在以后年份使用。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ISO认证，只有在第四季度末才可以操作。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6、市场开拓</w:t>
      </w:r>
    </w:p>
    <w:tbl>
      <w:tblPr>
        <w:tblStyle w:val="6"/>
        <w:tblW w:w="81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5"/>
        <w:gridCol w:w="2044"/>
        <w:gridCol w:w="2046"/>
        <w:gridCol w:w="20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204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名称</w:t>
            </w:r>
          </w:p>
        </w:tc>
        <w:tc>
          <w:tcPr>
            <w:tcW w:w="204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开发费</w:t>
            </w:r>
          </w:p>
        </w:tc>
        <w:tc>
          <w:tcPr>
            <w:tcW w:w="2046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开发时间</w:t>
            </w:r>
          </w:p>
        </w:tc>
        <w:tc>
          <w:tcPr>
            <w:tcW w:w="204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分值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204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本地</w:t>
            </w:r>
          </w:p>
        </w:tc>
        <w:tc>
          <w:tcPr>
            <w:tcW w:w="204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10W/年</w:t>
            </w:r>
          </w:p>
        </w:tc>
        <w:tc>
          <w:tcPr>
            <w:tcW w:w="2046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1年</w:t>
            </w:r>
          </w:p>
        </w:tc>
        <w:tc>
          <w:tcPr>
            <w:tcW w:w="204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204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区域</w:t>
            </w:r>
          </w:p>
        </w:tc>
        <w:tc>
          <w:tcPr>
            <w:tcW w:w="204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10W/年</w:t>
            </w:r>
          </w:p>
        </w:tc>
        <w:tc>
          <w:tcPr>
            <w:tcW w:w="2046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1年</w:t>
            </w:r>
          </w:p>
        </w:tc>
        <w:tc>
          <w:tcPr>
            <w:tcW w:w="204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204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国内</w:t>
            </w:r>
          </w:p>
        </w:tc>
        <w:tc>
          <w:tcPr>
            <w:tcW w:w="204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10W/年</w:t>
            </w:r>
          </w:p>
        </w:tc>
        <w:tc>
          <w:tcPr>
            <w:tcW w:w="2046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2年</w:t>
            </w:r>
          </w:p>
        </w:tc>
        <w:tc>
          <w:tcPr>
            <w:tcW w:w="204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204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亚洲</w:t>
            </w:r>
          </w:p>
        </w:tc>
        <w:tc>
          <w:tcPr>
            <w:tcW w:w="204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10W/年</w:t>
            </w:r>
          </w:p>
        </w:tc>
        <w:tc>
          <w:tcPr>
            <w:tcW w:w="2046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3年</w:t>
            </w:r>
          </w:p>
        </w:tc>
        <w:tc>
          <w:tcPr>
            <w:tcW w:w="204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204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国际</w:t>
            </w:r>
          </w:p>
        </w:tc>
        <w:tc>
          <w:tcPr>
            <w:tcW w:w="2044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10W/年</w:t>
            </w:r>
          </w:p>
        </w:tc>
        <w:tc>
          <w:tcPr>
            <w:tcW w:w="2046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4年</w:t>
            </w:r>
          </w:p>
        </w:tc>
        <w:tc>
          <w:tcPr>
            <w:tcW w:w="2045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8180" w:type="dxa"/>
            <w:gridSpan w:val="4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开发费用按开发时间在年末支付，不允许加速投资，但可以中断投资。</w:t>
            </w:r>
          </w:p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市场开发完成后，领取相应的市场准入证。 </w:t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无须交维护费，中途停止使用，也可继续拥有资格并在以后年份使用。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市场开拓，只有在第四季度才可以操作。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投资中断已投入的资金依然有效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jc w:val="both"/>
        <w:textAlignment w:val="baseline"/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原料</w:t>
      </w:r>
    </w:p>
    <w:tbl>
      <w:tblPr>
        <w:tblStyle w:val="6"/>
        <w:tblW w:w="85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8"/>
        <w:gridCol w:w="3779"/>
        <w:gridCol w:w="28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192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名称</w:t>
            </w:r>
          </w:p>
        </w:tc>
        <w:tc>
          <w:tcPr>
            <w:tcW w:w="3779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购买单价</w:t>
            </w:r>
          </w:p>
        </w:tc>
        <w:tc>
          <w:tcPr>
            <w:tcW w:w="285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 w:cs="宋体"/>
                <w:b/>
                <w:bCs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提前期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192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R1</w:t>
            </w:r>
          </w:p>
        </w:tc>
        <w:tc>
          <w:tcPr>
            <w:tcW w:w="3779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</w:t>
            </w:r>
          </w:p>
        </w:tc>
        <w:tc>
          <w:tcPr>
            <w:tcW w:w="285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192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R2</w:t>
            </w:r>
          </w:p>
        </w:tc>
        <w:tc>
          <w:tcPr>
            <w:tcW w:w="3779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</w:t>
            </w:r>
          </w:p>
        </w:tc>
        <w:tc>
          <w:tcPr>
            <w:tcW w:w="285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192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R3</w:t>
            </w:r>
          </w:p>
        </w:tc>
        <w:tc>
          <w:tcPr>
            <w:tcW w:w="3779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</w:t>
            </w:r>
          </w:p>
        </w:tc>
        <w:tc>
          <w:tcPr>
            <w:tcW w:w="285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2季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1928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R4</w:t>
            </w:r>
          </w:p>
        </w:tc>
        <w:tc>
          <w:tcPr>
            <w:tcW w:w="3779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10W</w:t>
            </w:r>
          </w:p>
        </w:tc>
        <w:tc>
          <w:tcPr>
            <w:tcW w:w="2853" w:type="dxa"/>
            <w:tcBorders>
              <w:top w:val="single" w:color="BABABA" w:sz="6" w:space="0"/>
              <w:left w:val="single" w:color="BABABA" w:sz="6" w:space="0"/>
              <w:bottom w:val="single" w:color="BABABA" w:sz="6" w:space="0"/>
              <w:right w:val="single" w:color="BABABA" w:sz="6" w:space="0"/>
            </w:tcBorders>
            <w:shd w:val="clear" w:color="auto" w:fill="FFFFFF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2季</w:t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3"/>
        </w:numPr>
        <w:snapToGrid/>
        <w:spacing w:before="0" w:beforeAutospacing="0" w:after="0" w:afterAutospacing="0" w:line="360" w:lineRule="auto"/>
        <w:ind w:left="720" w:hanging="7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没有下订单的原材料不能采购入库；</w:t>
      </w:r>
    </w:p>
    <w:p>
      <w:pPr>
        <w:numPr>
          <w:ilvl w:val="0"/>
          <w:numId w:val="3"/>
        </w:numPr>
        <w:snapToGrid/>
        <w:spacing w:before="0" w:beforeAutospacing="0" w:after="0" w:afterAutospacing="0" w:line="360" w:lineRule="auto"/>
        <w:ind w:left="720" w:hanging="7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所有预订的原材料到期必须全额现金购买。</w:t>
      </w:r>
    </w:p>
    <w:p>
      <w:pPr>
        <w:numPr>
          <w:ilvl w:val="0"/>
          <w:numId w:val="3"/>
        </w:numPr>
        <w:snapToGrid/>
        <w:spacing w:before="0" w:beforeAutospacing="0" w:after="0" w:afterAutospacing="0" w:line="360" w:lineRule="auto"/>
        <w:ind w:left="720" w:hanging="7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紧急采购时，原料是直接成本的2倍，即20W/个，在利润表中，直接成本仍然按照标准成本记录，紧急采购多付出的成本计入综合费用表中的</w:t>
      </w: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br w:type="textWrapping"/>
      </w: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“损失”。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8、选单规则</w:t>
      </w:r>
    </w:p>
    <w:p>
      <w:pPr>
        <w:snapToGrid/>
        <w:spacing w:before="0" w:beforeAutospacing="0" w:after="0" w:afterAutospacing="0" w:line="360" w:lineRule="auto"/>
        <w:ind w:firstLine="480" w:firstLineChars="2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在一个回合中，每投放10W广告费理论上将获得一次选单机会，此后每增加20W理论上多一次选单机会。如：本地P1投入30W 表示最多有2次选单机会，但是能否选到2次取决于市场需求及竞争态势。如果投小于10W广告则无选单机会，但仍扣广告费，对计算市场广告额有效。广告投放可以是非10倍数，如16W，17W，且投17W比投16W或15W优先选单。</w:t>
      </w:r>
    </w:p>
    <w:p>
      <w:pPr>
        <w:snapToGrid/>
        <w:spacing w:before="0" w:beforeAutospacing="0" w:after="0" w:afterAutospacing="0" w:line="360" w:lineRule="auto"/>
        <w:ind w:firstLine="482" w:firstLineChars="200"/>
        <w:jc w:val="both"/>
        <w:textAlignment w:val="baseline"/>
        <w:rPr>
          <w:rStyle w:val="10"/>
          <w:rFonts w:ascii="宋体" w:hAnsi="宋体"/>
          <w:b/>
          <w:i w:val="0"/>
          <w:caps w:val="0"/>
          <w:color w:val="FF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color w:val="FF0000"/>
          <w:spacing w:val="0"/>
          <w:w w:val="100"/>
          <w:kern w:val="2"/>
          <w:sz w:val="24"/>
          <w:szCs w:val="24"/>
          <w:lang w:val="en-US" w:eastAsia="zh-CN" w:bidi="ar-SA"/>
        </w:rPr>
        <w:t>投放广告，只有裁判宣布的最晚时间，没有最早时间。即你在系统里当年经营结束后即可马上投下一年的广告。</w:t>
      </w:r>
    </w:p>
    <w:p>
      <w:pPr>
        <w:snapToGrid/>
        <w:spacing w:before="0" w:beforeAutospacing="0" w:after="0" w:afterAutospacing="0" w:line="360" w:lineRule="auto"/>
        <w:ind w:firstLine="480" w:firstLineChars="2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选单时首先以当年本市场本产品广告额投放大小顺序依次选单；如果两队本市场本产品广告额相同，则看本市场广告投放总额；如果本市场广告总额也相同，则看上年本市场销售排名；如仍无法决定，先投广告者先选单。</w:t>
      </w:r>
      <w:r>
        <w:rPr>
          <w:rStyle w:val="10"/>
          <w:rFonts w:ascii="宋体" w:hAnsi="宋体"/>
          <w:b/>
          <w:i w:val="0"/>
          <w:caps w:val="0"/>
          <w:color w:val="FF0000"/>
          <w:spacing w:val="0"/>
          <w:w w:val="100"/>
          <w:kern w:val="2"/>
          <w:sz w:val="24"/>
          <w:szCs w:val="24"/>
          <w:lang w:val="en-US" w:eastAsia="zh-CN" w:bidi="ar-SA"/>
        </w:rPr>
        <w:t>第一年无订单。</w:t>
      </w:r>
    </w:p>
    <w:p>
      <w:pPr>
        <w:snapToGrid/>
        <w:spacing w:before="0" w:beforeAutospacing="0" w:after="0" w:afterAutospacing="0" w:line="360" w:lineRule="auto"/>
        <w:ind w:firstLine="480" w:firstLineChars="2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选单时，两个市场同时开单，各队需要同时关注两个市场的选单进展，其中一个市场先结束，则第三个市场立即开单，即任何时候会有两个市场同开，除非到最后只剩下一个市场选单未结束。如某年有本地、区域、国内、亚洲四个市场有选单。则系统将本地、区域同时放单，各市场按P1、P2、P3、P4、P5顺序独立放单，若本地市场选单结束，则国内市场立即开单，此时区域、国内二市场保持同开，紧接着区域结束选单，则亚洲市场立即放单，即国内、亚洲二市场同开。选单时各队需要点击相应的市场按钮（如“国内”），某一市场选单结束，系统不会自动跳到其他市场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bidi="ar-SA"/>
        </w:rPr>
        <w:drawing>
          <wp:inline distT="0" distB="0" distL="114300" distR="114300">
            <wp:extent cx="5489575" cy="1107440"/>
            <wp:effectExtent l="0" t="0" r="1206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360" w:lineRule="auto"/>
        <w:ind w:firstLine="480" w:firstLineChars="2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提请注意：</w:t>
      </w:r>
    </w:p>
    <w:p>
      <w:pPr>
        <w:numPr>
          <w:ilvl w:val="0"/>
          <w:numId w:val="4"/>
        </w:numPr>
        <w:snapToGrid/>
        <w:spacing w:before="0" w:beforeAutospacing="0" w:after="0" w:afterAutospacing="0" w:line="360" w:lineRule="auto"/>
        <w:ind w:left="840" w:hanging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出现确认框要在倒计时大于5秒时按下确认按钮，否则可能造成选单无效；</w:t>
      </w:r>
    </w:p>
    <w:p>
      <w:pPr>
        <w:numPr>
          <w:ilvl w:val="0"/>
          <w:numId w:val="4"/>
        </w:numPr>
        <w:snapToGrid/>
        <w:spacing w:before="0" w:beforeAutospacing="0" w:after="0" w:afterAutospacing="0" w:line="360" w:lineRule="auto"/>
        <w:ind w:left="840" w:hanging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在某细分市场（如本地P1）有多次选单机会，只要放弃一次，则视同放弃该细分市场所有选单机会；</w:t>
      </w:r>
    </w:p>
    <w:p>
      <w:pPr>
        <w:numPr>
          <w:ilvl w:val="0"/>
          <w:numId w:val="4"/>
        </w:numPr>
        <w:snapToGrid/>
        <w:spacing w:before="0" w:beforeAutospacing="0" w:after="0" w:afterAutospacing="0" w:line="360" w:lineRule="auto"/>
        <w:ind w:left="840" w:hanging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选单时各队两台电脑同时联接入网；</w:t>
      </w:r>
    </w:p>
    <w:p>
      <w:pPr>
        <w:numPr>
          <w:ilvl w:val="0"/>
          <w:numId w:val="4"/>
        </w:numPr>
        <w:snapToGrid/>
        <w:spacing w:before="0" w:beforeAutospacing="0" w:after="0" w:afterAutospacing="0" w:line="360" w:lineRule="auto"/>
        <w:ind w:left="840" w:hanging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color w:val="FF0000"/>
          <w:spacing w:val="0"/>
          <w:w w:val="100"/>
          <w:kern w:val="2"/>
          <w:sz w:val="24"/>
          <w:szCs w:val="24"/>
          <w:lang w:val="en-US" w:eastAsia="zh-CN" w:bidi="ar-SA"/>
        </w:rPr>
        <w:t>本次比赛无市场老大；</w:t>
      </w:r>
    </w:p>
    <w:p>
      <w:pPr>
        <w:snapToGrid/>
        <w:spacing w:before="0" w:beforeAutospacing="0" w:after="0" w:afterAutospacing="0" w:line="360" w:lineRule="auto"/>
        <w:ind w:left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选单界面如下：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10"/>
          <w:rFonts w:ascii="宋体" w:hAnsi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spacing w:val="0"/>
          <w:w w:val="100"/>
          <w:kern w:val="2"/>
          <w:sz w:val="24"/>
          <w:szCs w:val="24"/>
          <w:lang w:bidi="ar-SA"/>
        </w:rPr>
        <w:drawing>
          <wp:inline distT="0" distB="0" distL="114300" distR="114300">
            <wp:extent cx="5629275" cy="3161030"/>
            <wp:effectExtent l="0" t="0" r="952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选择相应的订单，点“选中”，系统将提示是否确认选中该订单，例如下图：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bidi="ar-SA"/>
        </w:rPr>
        <w:drawing>
          <wp:inline distT="0" distB="0" distL="114300" distR="114300">
            <wp:extent cx="3054350" cy="2271395"/>
            <wp:effectExtent l="0" t="0" r="889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10"/>
          <w:rFonts w:ascii="宋体" w:hAnsi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点“确认”，</w:t>
      </w:r>
      <w:r>
        <w:rPr>
          <w:rStyle w:val="10"/>
          <w:rFonts w:ascii="宋体" w:hAnsi="宋体"/>
          <w:b/>
          <w:i w:val="0"/>
          <w:caps w:val="0"/>
          <w:color w:val="FF0000"/>
          <w:spacing w:val="0"/>
          <w:w w:val="100"/>
          <w:kern w:val="2"/>
          <w:sz w:val="24"/>
          <w:szCs w:val="24"/>
          <w:lang w:val="en-US" w:eastAsia="zh-CN" w:bidi="ar-SA"/>
        </w:rPr>
        <w:t>（注：出现确认框要在倒计时大于5秒时按下确认按钮，否则可能造成选单无效。）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系统会提示成功获得订单，如下图：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bidi="ar-SA"/>
        </w:rPr>
        <w:drawing>
          <wp:inline distT="0" distB="0" distL="114300" distR="114300">
            <wp:extent cx="3168650" cy="137160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360" w:lineRule="auto"/>
        <w:ind w:left="361" w:hanging="361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9．竞单会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（在第</w:t>
      </w:r>
      <w:r>
        <w:rPr>
          <w:rStyle w:val="10"/>
          <w:rFonts w:hint="eastAsia" w:ascii="宋体" w:hAnsi="宋体"/>
          <w:b/>
          <w:bCs/>
          <w:i w:val="0"/>
          <w:caps w:val="0"/>
          <w:color w:val="FF0000"/>
          <w:spacing w:val="0"/>
          <w:w w:val="100"/>
          <w:kern w:val="2"/>
          <w:sz w:val="24"/>
          <w:szCs w:val="24"/>
          <w:lang w:val="en-US" w:eastAsia="zh-CN" w:bidi="ar-SA"/>
        </w:rPr>
        <w:t>3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年和第</w:t>
      </w:r>
      <w:r>
        <w:rPr>
          <w:rStyle w:val="10"/>
          <w:rFonts w:hint="eastAsia" w:ascii="宋体" w:hAnsi="宋体"/>
          <w:b/>
          <w:bCs/>
          <w:i w:val="0"/>
          <w:caps w:val="0"/>
          <w:color w:val="FF0000"/>
          <w:spacing w:val="0"/>
          <w:w w:val="100"/>
          <w:kern w:val="2"/>
          <w:sz w:val="24"/>
          <w:szCs w:val="24"/>
          <w:lang w:val="en-US" w:eastAsia="zh-CN" w:bidi="ar-SA"/>
        </w:rPr>
        <w:t>5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年订货会后，召开竞单会。系统一次同时放3张订单同时竞，具体竞拍订单的信息将和市场预测图一起下发）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参与竞标的订单标明了订单编号、市场、产品、数量、ISO要求等，而总价、交货期、账期三项为空。竞标订单的相关要求说明如下：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ab/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（1）投标资质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参与投标的公司需要有相应市场、ISO认证的资质，但不必有生产资格。</w:t>
      </w:r>
    </w:p>
    <w:p>
      <w:pPr>
        <w:snapToGrid/>
        <w:spacing w:before="0" w:beforeAutospacing="0" w:after="0" w:afterAutospacing="0" w:line="360" w:lineRule="auto"/>
        <w:ind w:firstLine="480" w:firstLineChars="2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中标的公司需为该单支付10W标书费，计入广告费。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(如果已竞得单数+本次同时竞单数)* 10 &gt;现金余额，则不能再竞。即必须有一定现金库存作为保证金。如同时竞3张订单，库存现金为59W，已经竞得3张订单，扣除了30W标书费，还剩余29W库存现金，则不能继续参与竞单，因为万一再竞得3张，29W库存现金不足支付标书费30W。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为防止恶意竞单，对竞得单张数进行限制，如果{某队已竞得单张数&gt;ROUND（3*该年竞单总张数/参赛队数）}，则不能继续竞单。</w:t>
      </w:r>
    </w:p>
    <w:p>
      <w:pPr>
        <w:snapToGrid/>
        <w:spacing w:before="0" w:beforeAutospacing="0" w:after="0" w:afterAutospacing="0" w:line="360" w:lineRule="auto"/>
        <w:ind w:firstLine="480" w:firstLineChars="2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提请注意：</w:t>
      </w:r>
    </w:p>
    <w:p>
      <w:pPr>
        <w:numPr>
          <w:ilvl w:val="0"/>
          <w:numId w:val="5"/>
        </w:numPr>
        <w:snapToGrid/>
        <w:spacing w:before="0" w:beforeAutospacing="0" w:after="0" w:afterAutospacing="0" w:line="360" w:lineRule="auto"/>
        <w:ind w:left="840" w:hanging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ROUND表示四舍五入；</w:t>
      </w:r>
    </w:p>
    <w:p>
      <w:pPr>
        <w:numPr>
          <w:ilvl w:val="0"/>
          <w:numId w:val="5"/>
        </w:numPr>
        <w:snapToGrid/>
        <w:spacing w:before="0" w:beforeAutospacing="0" w:after="0" w:afterAutospacing="0" w:line="360" w:lineRule="auto"/>
        <w:ind w:left="840" w:hanging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如上式为等于，可以继续参与竞单；</w:t>
      </w:r>
    </w:p>
    <w:p>
      <w:pPr>
        <w:numPr>
          <w:ilvl w:val="0"/>
          <w:numId w:val="5"/>
        </w:numPr>
        <w:snapToGrid/>
        <w:spacing w:before="0" w:beforeAutospacing="0" w:after="0" w:afterAutospacing="0" w:line="360" w:lineRule="auto"/>
        <w:ind w:left="840" w:hanging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参赛队数指经营中的队伍，破产退出经营则不算其内。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如某年竞单，共有40张，20队参与竞单，当一队已经得到7张单，因为7&gt;ROUND（3* 40/20），所以不能继续竞单；但如果已经竞得6张，可以继续参与。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（2）投标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参与投标的公司须根据所投标的订单，在系统规定时间（90秒，以倒计时秒形式显示）填写总价、交货期、账期三项内容，确认后由系统按照：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/>
          <w:i w:val="0"/>
          <w:caps w:val="0"/>
          <w:color w:val="FF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color w:val="FF0000"/>
          <w:spacing w:val="0"/>
          <w:w w:val="100"/>
          <w:kern w:val="2"/>
          <w:sz w:val="24"/>
          <w:szCs w:val="24"/>
          <w:lang w:val="en-US" w:eastAsia="zh-CN" w:bidi="ar-SA"/>
        </w:rPr>
        <w:t>得分=100+(5-交货期)*2+应收账期-8*总价/(该产品直接成本*数量)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以得分最高者中标。如果计算分数相同，则先提交者中标。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提请注意：</w:t>
      </w:r>
    </w:p>
    <w:p>
      <w:pPr>
        <w:numPr>
          <w:ilvl w:val="0"/>
          <w:numId w:val="6"/>
        </w:numPr>
        <w:snapToGrid/>
        <w:spacing w:before="0" w:beforeAutospacing="0" w:after="0" w:afterAutospacing="0" w:line="360" w:lineRule="auto"/>
        <w:ind w:left="840" w:hanging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总价不能低于（可以等于）成本价，也不能高于（可以等于）成本价的三倍；</w:t>
      </w:r>
    </w:p>
    <w:p>
      <w:pPr>
        <w:numPr>
          <w:ilvl w:val="0"/>
          <w:numId w:val="6"/>
        </w:numPr>
        <w:snapToGrid/>
        <w:spacing w:before="0" w:beforeAutospacing="0" w:after="0" w:afterAutospacing="0" w:line="360" w:lineRule="auto"/>
        <w:ind w:left="840" w:hanging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必须为竞单留足时间，如在倒计时小于等于5秒再提交，可能无效；</w:t>
      </w:r>
    </w:p>
    <w:p>
      <w:pPr>
        <w:numPr>
          <w:ilvl w:val="0"/>
          <w:numId w:val="6"/>
        </w:numPr>
        <w:snapToGrid/>
        <w:spacing w:before="0" w:beforeAutospacing="0" w:after="0" w:afterAutospacing="0" w:line="360" w:lineRule="auto"/>
        <w:ind w:left="840" w:hanging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竞得订单与选中订单一样，算市场销售额；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10"/>
          <w:rFonts w:ascii="宋体" w:hAnsi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10．订单违约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/>
          <w:i w:val="0"/>
          <w:caps w:val="0"/>
          <w:color w:val="FF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订单必须在规定季或提前交货，应收账期从交货季开始算起。</w:t>
      </w:r>
      <w:r>
        <w:rPr>
          <w:rStyle w:val="10"/>
          <w:rFonts w:ascii="宋体" w:hAnsi="宋体"/>
          <w:b/>
          <w:i w:val="0"/>
          <w:caps w:val="0"/>
          <w:color w:val="FF0000"/>
          <w:spacing w:val="0"/>
          <w:w w:val="100"/>
          <w:kern w:val="2"/>
          <w:sz w:val="24"/>
          <w:szCs w:val="24"/>
          <w:lang w:val="en-US" w:eastAsia="zh-CN" w:bidi="ar-SA"/>
        </w:rPr>
        <w:t>应收款收回系统自动完成，不需要各队填写收回金额。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10"/>
          <w:rFonts w:ascii="宋体" w:hAnsi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11．取整规则（均精确或舍到个位整数）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违约金（分别计算）扣除——四舍五入；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库存拍卖所得现金——四舍五入；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贴现费用——向上取整；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扣税——四舍五入；</w:t>
      </w:r>
    </w:p>
    <w:p>
      <w:pPr>
        <w:snapToGrid/>
        <w:spacing w:before="0" w:beforeAutospacing="0" w:after="0" w:afterAutospacing="0" w:line="360" w:lineRule="auto"/>
        <w:ind w:firstLine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长短贷利息——四舍五入。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12、关于违约问题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 xml:space="preserve">所有订单要求在本年度内完成（按订单上的产品数量和交货期交货）。如果订单没有完成，则视为违约订单，按下列条款加以处罚： </w:t>
      </w:r>
    </w:p>
    <w:p>
      <w:pPr>
        <w:snapToGrid/>
        <w:spacing w:before="0" w:beforeAutospacing="0" w:after="0" w:afterAutospacing="0" w:line="360" w:lineRule="auto"/>
        <w:ind w:left="600" w:hanging="60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（1）分别按违约订单销售总额的 20%（四舍五入，每张订单违约金分别计）计算违约金，并在当年第4季度结束后扣除，违约金记入“损失”。 例：某组违约了以下两张订单：</w:t>
      </w:r>
    </w:p>
    <w:p>
      <w:pPr>
        <w:snapToGrid/>
        <w:spacing w:before="0" w:beforeAutospacing="0" w:after="0" w:afterAutospacing="0" w:line="360" w:lineRule="auto"/>
        <w:ind w:left="600" w:hanging="6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bidi="ar-SA"/>
        </w:rPr>
        <w:drawing>
          <wp:inline distT="0" distB="0" distL="114300" distR="114300">
            <wp:extent cx="5278755" cy="7620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360" w:lineRule="auto"/>
        <w:ind w:left="600" w:hanging="6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 xml:space="preserve">     则缴纳的违约金分别为：146*20%=29.2W≈29W；162*20%=32.4W≈32W</w:t>
      </w:r>
    </w:p>
    <w:p>
      <w:pPr>
        <w:snapToGrid/>
        <w:spacing w:before="0" w:beforeAutospacing="0" w:after="0" w:afterAutospacing="0" w:line="360" w:lineRule="auto"/>
        <w:ind w:left="600" w:hanging="60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 xml:space="preserve">     合计为29+32=61W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 xml:space="preserve">（2）违约订单一律收回。 </w:t>
      </w:r>
    </w:p>
    <w:p>
      <w:pPr>
        <w:snapToGrid/>
        <w:spacing w:before="0" w:beforeAutospacing="0" w:after="0" w:afterAutospacing="0" w:line="360" w:lineRule="auto"/>
        <w:ind w:left="720" w:hanging="720"/>
        <w:jc w:val="left"/>
        <w:textAlignment w:val="baseline"/>
        <w:rPr>
          <w:rStyle w:val="10"/>
          <w:rFonts w:ascii="宋体" w:hAnsi="宋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 xml:space="preserve">13．重要参数  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</w:p>
    <w:tbl>
      <w:tblPr>
        <w:tblStyle w:val="6"/>
        <w:tblW w:w="8336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01"/>
        <w:gridCol w:w="1667"/>
        <w:gridCol w:w="2501"/>
        <w:gridCol w:w="16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违约金比例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20.0 %</w:t>
            </w:r>
          </w:p>
        </w:tc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贷款额倍数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3 倍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产品折价率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100.0 %</w:t>
            </w:r>
          </w:p>
        </w:tc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原料折价率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80.0 %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长贷利率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10.0 %</w:t>
            </w:r>
          </w:p>
        </w:tc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短贷利率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5.0 %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1，2期贴现率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10.0 %</w:t>
            </w:r>
          </w:p>
        </w:tc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3，4期贴现率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12.5 %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初始现金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650 W</w:t>
            </w:r>
          </w:p>
        </w:tc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管理费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10W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信息费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1 W</w:t>
            </w:r>
          </w:p>
        </w:tc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所得税率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25.0 %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最大长贷年限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hint="eastAsia" w:ascii="宋体" w:hAnsi="宋体"/>
                <w:b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4</w:t>
            </w:r>
            <w:r>
              <w:rPr>
                <w:rStyle w:val="10"/>
                <w:rFonts w:ascii="宋体" w:hAnsi="宋体"/>
                <w:b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 xml:space="preserve"> 年</w:t>
            </w:r>
          </w:p>
        </w:tc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最小得单广告额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10W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原料紧急采购倍数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2 倍</w:t>
            </w:r>
          </w:p>
        </w:tc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产品紧急采购倍数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3 倍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选单时间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60 秒</w:t>
            </w:r>
          </w:p>
        </w:tc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首位选单补时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15 秒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市场同开数量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市场老大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竞单时间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90 秒</w:t>
            </w:r>
          </w:p>
        </w:tc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竞单同竞数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最大厂房数量</w:t>
            </w: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4 个</w:t>
            </w:r>
          </w:p>
        </w:tc>
        <w:tc>
          <w:tcPr>
            <w:tcW w:w="2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333333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10"/>
          <w:rFonts w:ascii="宋体" w:hAnsi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ab/>
      </w:r>
      <w:r>
        <w:rPr>
          <w:rStyle w:val="10"/>
          <w:rFonts w:ascii="宋体" w:hAnsi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提请注意：</w:t>
      </w:r>
    </w:p>
    <w:p>
      <w:pPr>
        <w:numPr>
          <w:ilvl w:val="0"/>
          <w:numId w:val="7"/>
        </w:numPr>
        <w:snapToGrid/>
        <w:spacing w:before="0" w:beforeAutospacing="0" w:after="0" w:afterAutospacing="0" w:line="360" w:lineRule="auto"/>
        <w:ind w:left="840" w:hanging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每市场每产品选单时第一个队选单时间为75秒，自第二个队起，选单时间设为60秒；</w:t>
      </w:r>
    </w:p>
    <w:p>
      <w:pPr>
        <w:numPr>
          <w:ilvl w:val="0"/>
          <w:numId w:val="7"/>
        </w:numPr>
        <w:snapToGrid/>
        <w:spacing w:before="0" w:beforeAutospacing="0" w:after="0" w:afterAutospacing="0" w:line="360" w:lineRule="auto"/>
        <w:ind w:left="840" w:hanging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初始资金为</w:t>
      </w:r>
      <w:r>
        <w:rPr>
          <w:rStyle w:val="10"/>
          <w:rFonts w:ascii="宋体" w:hAnsi="宋体"/>
          <w:b/>
          <w:i w:val="0"/>
          <w:caps w:val="0"/>
          <w:color w:val="FF0000"/>
          <w:spacing w:val="0"/>
          <w:w w:val="100"/>
          <w:kern w:val="2"/>
          <w:sz w:val="24"/>
          <w:szCs w:val="24"/>
          <w:lang w:val="en-US" w:eastAsia="zh-CN" w:bidi="ar-SA"/>
        </w:rPr>
        <w:t>650W</w:t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；</w:t>
      </w:r>
    </w:p>
    <w:p>
      <w:pPr>
        <w:numPr>
          <w:ilvl w:val="0"/>
          <w:numId w:val="7"/>
        </w:numPr>
        <w:snapToGrid/>
        <w:spacing w:before="0" w:beforeAutospacing="0" w:after="0" w:afterAutospacing="0" w:line="360" w:lineRule="auto"/>
        <w:ind w:left="840" w:hanging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信息费1W/次/队，即交1W可以查看一队企业信息，交费企业以EXCEL表格形式获得被间谍企业详细信息。（可看到的信息框架结构如附件EXCEL表所示）。竞单会时无法使用间谍。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14．竞赛排名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ab/>
      </w: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 xml:space="preserve">6年经营结束后，将根据各队的总成绩进行排名，分数高者排名在前。 </w:t>
      </w:r>
    </w:p>
    <w:p>
      <w:pPr>
        <w:snapToGrid/>
        <w:spacing w:before="0" w:beforeAutospacing="0" w:after="0" w:afterAutospacing="0" w:line="360" w:lineRule="auto"/>
        <w:ind w:left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总成绩＝所有者权益×（1＋企业综合发展潜力/100）​-罚分</w:t>
      </w:r>
    </w:p>
    <w:p>
      <w:pPr>
        <w:snapToGrid/>
        <w:spacing w:before="0" w:beforeAutospacing="0" w:after="0" w:afterAutospacing="0" w:line="360" w:lineRule="auto"/>
        <w:ind w:left="420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企业综合发展潜力如下：</w:t>
      </w:r>
    </w:p>
    <w:tbl>
      <w:tblPr>
        <w:tblStyle w:val="6"/>
        <w:tblpPr w:leftFromText="180" w:rightFromText="180" w:vertAnchor="text" w:tblpXSpec="center" w:tblpY="1"/>
        <w:tblOverlap w:val="never"/>
        <w:tblW w:w="5920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73"/>
        <w:gridCol w:w="284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1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项目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1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综合发展潜力系数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手工线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+4/条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自动线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+8/条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柔性线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+10/条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本地市场开发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区域市场开发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国内市场开发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亚洲市场开发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国际市场开发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ISO9000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ISO14000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P1产品开发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P2产品开发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P3产品开发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P4产品开发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P5产品开发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大厂房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+10/个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中厂房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+8/个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小厂房</w:t>
            </w:r>
          </w:p>
        </w:tc>
        <w:tc>
          <w:tcPr>
            <w:tcW w:w="2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360"/>
              <w:jc w:val="center"/>
              <w:textAlignment w:val="baseline"/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hAnsi="宋体"/>
                <w:b w:val="0"/>
                <w:i w:val="0"/>
                <w:caps w:val="0"/>
                <w:color w:val="FF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+6/个</w:t>
            </w:r>
          </w:p>
        </w:tc>
      </w:tr>
    </w:tbl>
    <w:p>
      <w:pPr>
        <w:snapToGrid/>
        <w:spacing w:before="0" w:beforeAutospacing="0" w:after="0" w:afterAutospacing="0" w:line="240" w:lineRule="atLeast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tLeast"/>
        <w:jc w:val="both"/>
        <w:textAlignment w:val="baseline"/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tLeast"/>
        <w:jc w:val="right"/>
        <w:textAlignment w:val="baseline"/>
        <w:rPr>
          <w:rFonts w:hint="eastAsia"/>
          <w:lang w:val="en-US" w:eastAsia="zh-CN"/>
        </w:rPr>
      </w:pPr>
      <w:r>
        <w:rPr>
          <w:rStyle w:val="10"/>
          <w:rFonts w:ascii="宋体" w:hAnsi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br w:type="page"/>
      </w:r>
    </w:p>
    <w:p>
      <w:pPr>
        <w:rPr>
          <w:rFonts w:hint="default" w:ascii="Times New Roman" w:hAnsi="Times New Roman" w:cs="Times New Roman"/>
          <w:lang w:val="en-US" w:eastAsia="zh-CN"/>
        </w:rPr>
      </w:pPr>
    </w:p>
    <w:sectPr>
      <w:pgSz w:w="11906" w:h="16838"/>
      <w:pgMar w:top="1417" w:right="1587" w:bottom="1247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bullet"/>
      <w:lvlText w:val=""/>
      <w:lvlJc w:val="left"/>
      <w:pPr>
        <w:widowControl/>
        <w:tabs>
          <w:tab w:val="left" w:pos="840"/>
        </w:tabs>
        <w:ind w:left="840" w:hanging="420"/>
        <w:textAlignment w:val="baseline"/>
      </w:pPr>
      <w:rPr>
        <w:rStyle w:val="10"/>
        <w:rFonts w:ascii="Wingdings" w:hAnsi="Wingdings"/>
      </w:rPr>
    </w:lvl>
    <w:lvl w:ilvl="1" w:tentative="0">
      <w:start w:val="1"/>
      <w:numFmt w:val="bullet"/>
      <w:lvlText w:val=""/>
      <w:lvlJc w:val="left"/>
      <w:pPr>
        <w:widowControl/>
        <w:tabs>
          <w:tab w:val="left" w:pos="1260"/>
        </w:tabs>
        <w:ind w:left="1260" w:hanging="420"/>
        <w:textAlignment w:val="baseline"/>
      </w:pPr>
      <w:rPr>
        <w:rStyle w:val="10"/>
        <w:rFonts w:ascii="Wingdings" w:hAnsi="Wingdings"/>
      </w:rPr>
    </w:lvl>
    <w:lvl w:ilvl="2" w:tentative="0">
      <w:start w:val="1"/>
      <w:numFmt w:val="bullet"/>
      <w:lvlText w:val=""/>
      <w:lvlJc w:val="left"/>
      <w:pPr>
        <w:widowControl/>
        <w:tabs>
          <w:tab w:val="left" w:pos="1680"/>
        </w:tabs>
        <w:ind w:left="1680" w:hanging="420"/>
        <w:textAlignment w:val="baseline"/>
      </w:pPr>
      <w:rPr>
        <w:rStyle w:val="10"/>
        <w:rFonts w:ascii="Wingdings" w:hAnsi="Wingdings"/>
      </w:rPr>
    </w:lvl>
    <w:lvl w:ilvl="3" w:tentative="0">
      <w:start w:val="1"/>
      <w:numFmt w:val="bullet"/>
      <w:lvlText w:val=""/>
      <w:lvlJc w:val="left"/>
      <w:pPr>
        <w:widowControl/>
        <w:tabs>
          <w:tab w:val="left" w:pos="2100"/>
        </w:tabs>
        <w:ind w:left="2100" w:hanging="420"/>
        <w:textAlignment w:val="baseline"/>
      </w:pPr>
      <w:rPr>
        <w:rStyle w:val="10"/>
        <w:rFonts w:ascii="Wingdings" w:hAnsi="Wingdings"/>
      </w:rPr>
    </w:lvl>
    <w:lvl w:ilvl="4" w:tentative="0">
      <w:start w:val="1"/>
      <w:numFmt w:val="bullet"/>
      <w:lvlText w:val=""/>
      <w:lvlJc w:val="left"/>
      <w:pPr>
        <w:widowControl/>
        <w:tabs>
          <w:tab w:val="left" w:pos="2520"/>
        </w:tabs>
        <w:ind w:left="2520" w:hanging="420"/>
        <w:textAlignment w:val="baseline"/>
      </w:pPr>
      <w:rPr>
        <w:rStyle w:val="10"/>
        <w:rFonts w:ascii="Wingdings" w:hAnsi="Wingdings"/>
      </w:rPr>
    </w:lvl>
    <w:lvl w:ilvl="5" w:tentative="0">
      <w:start w:val="1"/>
      <w:numFmt w:val="bullet"/>
      <w:lvlText w:val=""/>
      <w:lvlJc w:val="left"/>
      <w:pPr>
        <w:widowControl/>
        <w:tabs>
          <w:tab w:val="left" w:pos="2940"/>
        </w:tabs>
        <w:ind w:left="2940" w:hanging="420"/>
        <w:textAlignment w:val="baseline"/>
      </w:pPr>
      <w:rPr>
        <w:rStyle w:val="10"/>
        <w:rFonts w:ascii="Wingdings" w:hAnsi="Wingdings"/>
      </w:rPr>
    </w:lvl>
    <w:lvl w:ilvl="6" w:tentative="0">
      <w:start w:val="1"/>
      <w:numFmt w:val="bullet"/>
      <w:lvlText w:val=""/>
      <w:lvlJc w:val="left"/>
      <w:pPr>
        <w:widowControl/>
        <w:tabs>
          <w:tab w:val="left" w:pos="3360"/>
        </w:tabs>
        <w:ind w:left="3360" w:hanging="420"/>
        <w:textAlignment w:val="baseline"/>
      </w:pPr>
      <w:rPr>
        <w:rStyle w:val="10"/>
        <w:rFonts w:ascii="Wingdings" w:hAnsi="Wingdings"/>
      </w:rPr>
    </w:lvl>
    <w:lvl w:ilvl="7" w:tentative="0">
      <w:start w:val="1"/>
      <w:numFmt w:val="bullet"/>
      <w:lvlText w:val=""/>
      <w:lvlJc w:val="left"/>
      <w:pPr>
        <w:widowControl/>
        <w:tabs>
          <w:tab w:val="left" w:pos="3780"/>
        </w:tabs>
        <w:ind w:left="3780" w:hanging="420"/>
        <w:textAlignment w:val="baseline"/>
      </w:pPr>
      <w:rPr>
        <w:rStyle w:val="10"/>
        <w:rFonts w:ascii="Wingdings" w:hAnsi="Wingdings"/>
      </w:rPr>
    </w:lvl>
    <w:lvl w:ilvl="8" w:tentative="0">
      <w:start w:val="1"/>
      <w:numFmt w:val="bullet"/>
      <w:lvlText w:val=""/>
      <w:lvlJc w:val="left"/>
      <w:pPr>
        <w:widowControl/>
        <w:tabs>
          <w:tab w:val="left" w:pos="4200"/>
        </w:tabs>
        <w:ind w:left="4200" w:hanging="420"/>
        <w:textAlignment w:val="baseline"/>
      </w:pPr>
      <w:rPr>
        <w:rStyle w:val="10"/>
        <w:rFonts w:ascii="Wingdings" w:hAnsi="Wingdings"/>
      </w:rPr>
    </w:lvl>
  </w:abstractNum>
  <w:abstractNum w:abstractNumId="1">
    <w:nsid w:val="00000002"/>
    <w:multiLevelType w:val="multilevel"/>
    <w:tmpl w:val="00000002"/>
    <w:lvl w:ilvl="0" w:tentative="0">
      <w:start w:val="1"/>
      <w:numFmt w:val="bullet"/>
      <w:lvlText w:val=""/>
      <w:lvlJc w:val="left"/>
      <w:pPr>
        <w:widowControl/>
        <w:tabs>
          <w:tab w:val="left" w:pos="840"/>
        </w:tabs>
        <w:ind w:left="840" w:hanging="420"/>
        <w:textAlignment w:val="baseline"/>
      </w:pPr>
      <w:rPr>
        <w:rStyle w:val="10"/>
        <w:rFonts w:ascii="Wingdings" w:hAnsi="Wingdings"/>
      </w:rPr>
    </w:lvl>
    <w:lvl w:ilvl="1" w:tentative="0">
      <w:start w:val="1"/>
      <w:numFmt w:val="bullet"/>
      <w:lvlText w:val=""/>
      <w:lvlJc w:val="left"/>
      <w:pPr>
        <w:widowControl/>
        <w:tabs>
          <w:tab w:val="left" w:pos="1260"/>
        </w:tabs>
        <w:ind w:left="1260" w:hanging="420"/>
        <w:textAlignment w:val="baseline"/>
      </w:pPr>
      <w:rPr>
        <w:rStyle w:val="10"/>
        <w:rFonts w:ascii="Wingdings" w:hAnsi="Wingdings"/>
      </w:rPr>
    </w:lvl>
    <w:lvl w:ilvl="2" w:tentative="0">
      <w:start w:val="1"/>
      <w:numFmt w:val="bullet"/>
      <w:lvlText w:val=""/>
      <w:lvlJc w:val="left"/>
      <w:pPr>
        <w:widowControl/>
        <w:tabs>
          <w:tab w:val="left" w:pos="1680"/>
        </w:tabs>
        <w:ind w:left="1680" w:hanging="420"/>
        <w:textAlignment w:val="baseline"/>
      </w:pPr>
      <w:rPr>
        <w:rStyle w:val="10"/>
        <w:rFonts w:ascii="Wingdings" w:hAnsi="Wingdings"/>
      </w:rPr>
    </w:lvl>
    <w:lvl w:ilvl="3" w:tentative="0">
      <w:start w:val="1"/>
      <w:numFmt w:val="bullet"/>
      <w:lvlText w:val=""/>
      <w:lvlJc w:val="left"/>
      <w:pPr>
        <w:widowControl/>
        <w:tabs>
          <w:tab w:val="left" w:pos="2100"/>
        </w:tabs>
        <w:ind w:left="2100" w:hanging="420"/>
        <w:textAlignment w:val="baseline"/>
      </w:pPr>
      <w:rPr>
        <w:rStyle w:val="10"/>
        <w:rFonts w:ascii="Wingdings" w:hAnsi="Wingdings"/>
      </w:rPr>
    </w:lvl>
    <w:lvl w:ilvl="4" w:tentative="0">
      <w:start w:val="1"/>
      <w:numFmt w:val="bullet"/>
      <w:lvlText w:val=""/>
      <w:lvlJc w:val="left"/>
      <w:pPr>
        <w:widowControl/>
        <w:tabs>
          <w:tab w:val="left" w:pos="2520"/>
        </w:tabs>
        <w:ind w:left="2520" w:hanging="420"/>
        <w:textAlignment w:val="baseline"/>
      </w:pPr>
      <w:rPr>
        <w:rStyle w:val="10"/>
        <w:rFonts w:ascii="Wingdings" w:hAnsi="Wingdings"/>
      </w:rPr>
    </w:lvl>
    <w:lvl w:ilvl="5" w:tentative="0">
      <w:start w:val="1"/>
      <w:numFmt w:val="bullet"/>
      <w:lvlText w:val=""/>
      <w:lvlJc w:val="left"/>
      <w:pPr>
        <w:widowControl/>
        <w:tabs>
          <w:tab w:val="left" w:pos="2940"/>
        </w:tabs>
        <w:ind w:left="2940" w:hanging="420"/>
        <w:textAlignment w:val="baseline"/>
      </w:pPr>
      <w:rPr>
        <w:rStyle w:val="10"/>
        <w:rFonts w:ascii="Wingdings" w:hAnsi="Wingdings"/>
      </w:rPr>
    </w:lvl>
    <w:lvl w:ilvl="6" w:tentative="0">
      <w:start w:val="1"/>
      <w:numFmt w:val="bullet"/>
      <w:lvlText w:val=""/>
      <w:lvlJc w:val="left"/>
      <w:pPr>
        <w:widowControl/>
        <w:tabs>
          <w:tab w:val="left" w:pos="3360"/>
        </w:tabs>
        <w:ind w:left="3360" w:hanging="420"/>
        <w:textAlignment w:val="baseline"/>
      </w:pPr>
      <w:rPr>
        <w:rStyle w:val="10"/>
        <w:rFonts w:ascii="Wingdings" w:hAnsi="Wingdings"/>
      </w:rPr>
    </w:lvl>
    <w:lvl w:ilvl="7" w:tentative="0">
      <w:start w:val="1"/>
      <w:numFmt w:val="bullet"/>
      <w:lvlText w:val=""/>
      <w:lvlJc w:val="left"/>
      <w:pPr>
        <w:widowControl/>
        <w:tabs>
          <w:tab w:val="left" w:pos="3780"/>
        </w:tabs>
        <w:ind w:left="3780" w:hanging="420"/>
        <w:textAlignment w:val="baseline"/>
      </w:pPr>
      <w:rPr>
        <w:rStyle w:val="10"/>
        <w:rFonts w:ascii="Wingdings" w:hAnsi="Wingdings"/>
      </w:rPr>
    </w:lvl>
    <w:lvl w:ilvl="8" w:tentative="0">
      <w:start w:val="1"/>
      <w:numFmt w:val="bullet"/>
      <w:lvlText w:val=""/>
      <w:lvlJc w:val="left"/>
      <w:pPr>
        <w:widowControl/>
        <w:tabs>
          <w:tab w:val="left" w:pos="4200"/>
        </w:tabs>
        <w:ind w:left="4200" w:hanging="420"/>
        <w:textAlignment w:val="baseline"/>
      </w:pPr>
      <w:rPr>
        <w:rStyle w:val="10"/>
        <w:rFonts w:ascii="Wingdings" w:hAnsi="Wingdings"/>
      </w:rPr>
    </w:lvl>
  </w:abstractNum>
  <w:abstractNum w:abstractNumId="2">
    <w:nsid w:val="00000003"/>
    <w:multiLevelType w:val="multilevel"/>
    <w:tmpl w:val="00000003"/>
    <w:lvl w:ilvl="0" w:tentative="0">
      <w:start w:val="1"/>
      <w:numFmt w:val="bullet"/>
      <w:lvlText w:val=""/>
      <w:lvlJc w:val="left"/>
      <w:pPr>
        <w:widowControl/>
        <w:tabs>
          <w:tab w:val="left" w:pos="840"/>
        </w:tabs>
        <w:ind w:left="840" w:hanging="420"/>
        <w:textAlignment w:val="baseline"/>
      </w:pPr>
      <w:rPr>
        <w:rStyle w:val="10"/>
        <w:rFonts w:ascii="Wingdings" w:hAnsi="Wingdings"/>
      </w:rPr>
    </w:lvl>
    <w:lvl w:ilvl="1" w:tentative="0">
      <w:start w:val="1"/>
      <w:numFmt w:val="bullet"/>
      <w:lvlText w:val=""/>
      <w:lvlJc w:val="left"/>
      <w:pPr>
        <w:widowControl/>
        <w:tabs>
          <w:tab w:val="left" w:pos="1260"/>
        </w:tabs>
        <w:ind w:left="1260" w:hanging="420"/>
        <w:textAlignment w:val="baseline"/>
      </w:pPr>
      <w:rPr>
        <w:rStyle w:val="10"/>
        <w:rFonts w:ascii="Wingdings" w:hAnsi="Wingdings"/>
      </w:rPr>
    </w:lvl>
    <w:lvl w:ilvl="2" w:tentative="0">
      <w:start w:val="1"/>
      <w:numFmt w:val="bullet"/>
      <w:lvlText w:val=""/>
      <w:lvlJc w:val="left"/>
      <w:pPr>
        <w:widowControl/>
        <w:tabs>
          <w:tab w:val="left" w:pos="1680"/>
        </w:tabs>
        <w:ind w:left="1680" w:hanging="420"/>
        <w:textAlignment w:val="baseline"/>
      </w:pPr>
      <w:rPr>
        <w:rStyle w:val="10"/>
        <w:rFonts w:ascii="Wingdings" w:hAnsi="Wingdings"/>
      </w:rPr>
    </w:lvl>
    <w:lvl w:ilvl="3" w:tentative="0">
      <w:start w:val="1"/>
      <w:numFmt w:val="bullet"/>
      <w:lvlText w:val=""/>
      <w:lvlJc w:val="left"/>
      <w:pPr>
        <w:widowControl/>
        <w:tabs>
          <w:tab w:val="left" w:pos="2100"/>
        </w:tabs>
        <w:ind w:left="2100" w:hanging="420"/>
        <w:textAlignment w:val="baseline"/>
      </w:pPr>
      <w:rPr>
        <w:rStyle w:val="10"/>
        <w:rFonts w:ascii="Wingdings" w:hAnsi="Wingdings"/>
      </w:rPr>
    </w:lvl>
    <w:lvl w:ilvl="4" w:tentative="0">
      <w:start w:val="1"/>
      <w:numFmt w:val="bullet"/>
      <w:lvlText w:val=""/>
      <w:lvlJc w:val="left"/>
      <w:pPr>
        <w:widowControl/>
        <w:tabs>
          <w:tab w:val="left" w:pos="2520"/>
        </w:tabs>
        <w:ind w:left="2520" w:hanging="420"/>
        <w:textAlignment w:val="baseline"/>
      </w:pPr>
      <w:rPr>
        <w:rStyle w:val="10"/>
        <w:rFonts w:ascii="Wingdings" w:hAnsi="Wingdings"/>
      </w:rPr>
    </w:lvl>
    <w:lvl w:ilvl="5" w:tentative="0">
      <w:start w:val="1"/>
      <w:numFmt w:val="bullet"/>
      <w:lvlText w:val=""/>
      <w:lvlJc w:val="left"/>
      <w:pPr>
        <w:widowControl/>
        <w:tabs>
          <w:tab w:val="left" w:pos="2940"/>
        </w:tabs>
        <w:ind w:left="2940" w:hanging="420"/>
        <w:textAlignment w:val="baseline"/>
      </w:pPr>
      <w:rPr>
        <w:rStyle w:val="10"/>
        <w:rFonts w:ascii="Wingdings" w:hAnsi="Wingdings"/>
      </w:rPr>
    </w:lvl>
    <w:lvl w:ilvl="6" w:tentative="0">
      <w:start w:val="1"/>
      <w:numFmt w:val="bullet"/>
      <w:lvlText w:val=""/>
      <w:lvlJc w:val="left"/>
      <w:pPr>
        <w:widowControl/>
        <w:tabs>
          <w:tab w:val="left" w:pos="3360"/>
        </w:tabs>
        <w:ind w:left="3360" w:hanging="420"/>
        <w:textAlignment w:val="baseline"/>
      </w:pPr>
      <w:rPr>
        <w:rStyle w:val="10"/>
        <w:rFonts w:ascii="Wingdings" w:hAnsi="Wingdings"/>
      </w:rPr>
    </w:lvl>
    <w:lvl w:ilvl="7" w:tentative="0">
      <w:start w:val="1"/>
      <w:numFmt w:val="bullet"/>
      <w:lvlText w:val=""/>
      <w:lvlJc w:val="left"/>
      <w:pPr>
        <w:widowControl/>
        <w:tabs>
          <w:tab w:val="left" w:pos="3780"/>
        </w:tabs>
        <w:ind w:left="3780" w:hanging="420"/>
        <w:textAlignment w:val="baseline"/>
      </w:pPr>
      <w:rPr>
        <w:rStyle w:val="10"/>
        <w:rFonts w:ascii="Wingdings" w:hAnsi="Wingdings"/>
      </w:rPr>
    </w:lvl>
    <w:lvl w:ilvl="8" w:tentative="0">
      <w:start w:val="1"/>
      <w:numFmt w:val="bullet"/>
      <w:lvlText w:val=""/>
      <w:lvlJc w:val="left"/>
      <w:pPr>
        <w:widowControl/>
        <w:tabs>
          <w:tab w:val="left" w:pos="4200"/>
        </w:tabs>
        <w:ind w:left="4200" w:hanging="420"/>
        <w:textAlignment w:val="baseline"/>
      </w:pPr>
      <w:rPr>
        <w:rStyle w:val="10"/>
        <w:rFonts w:ascii="Wingdings" w:hAnsi="Wingdings"/>
      </w:rPr>
    </w:lvl>
  </w:abstractNum>
  <w:abstractNum w:abstractNumId="3">
    <w:nsid w:val="00000004"/>
    <w:multiLevelType w:val="multilevel"/>
    <w:tmpl w:val="00000004"/>
    <w:lvl w:ilvl="0" w:tentative="0">
      <w:start w:val="1"/>
      <w:numFmt w:val="decimal"/>
      <w:lvlText w:val="%1、"/>
      <w:lvlJc w:val="left"/>
      <w:pPr>
        <w:widowControl/>
        <w:ind w:left="360" w:hanging="360"/>
        <w:textAlignment w:val="baseline"/>
      </w:pPr>
      <w:rPr>
        <w:rStyle w:val="10"/>
      </w:rPr>
    </w:lvl>
    <w:lvl w:ilvl="1" w:tentative="0">
      <w:start w:val="1"/>
      <w:numFmt w:val="lowerLetter"/>
      <w:lvlText w:val="%1)"/>
      <w:lvlJc w:val="left"/>
      <w:pPr>
        <w:widowControl/>
        <w:ind w:left="840" w:hanging="420"/>
        <w:textAlignment w:val="baseline"/>
      </w:pPr>
      <w:rPr>
        <w:rStyle w:val="10"/>
      </w:rPr>
    </w:lvl>
    <w:lvl w:ilvl="2" w:tentative="0">
      <w:start w:val="1"/>
      <w:numFmt w:val="lowerRoman"/>
      <w:lvlText w:val="%1."/>
      <w:lvlJc w:val="right"/>
      <w:pPr>
        <w:widowControl/>
        <w:ind w:left="1260" w:hanging="420"/>
        <w:textAlignment w:val="baseline"/>
      </w:pPr>
      <w:rPr>
        <w:rStyle w:val="10"/>
      </w:rPr>
    </w:lvl>
    <w:lvl w:ilvl="3" w:tentative="0">
      <w:start w:val="1"/>
      <w:numFmt w:val="decimal"/>
      <w:lvlText w:val="%1."/>
      <w:lvlJc w:val="left"/>
      <w:pPr>
        <w:widowControl/>
        <w:ind w:left="1680" w:hanging="420"/>
        <w:textAlignment w:val="baseline"/>
      </w:pPr>
      <w:rPr>
        <w:rStyle w:val="10"/>
      </w:rPr>
    </w:lvl>
    <w:lvl w:ilvl="4" w:tentative="0">
      <w:start w:val="1"/>
      <w:numFmt w:val="lowerLetter"/>
      <w:lvlText w:val="%1)"/>
      <w:lvlJc w:val="left"/>
      <w:pPr>
        <w:widowControl/>
        <w:ind w:left="2100" w:hanging="420"/>
        <w:textAlignment w:val="baseline"/>
      </w:pPr>
      <w:rPr>
        <w:rStyle w:val="10"/>
      </w:rPr>
    </w:lvl>
    <w:lvl w:ilvl="5" w:tentative="0">
      <w:start w:val="1"/>
      <w:numFmt w:val="lowerRoman"/>
      <w:lvlText w:val="%1."/>
      <w:lvlJc w:val="right"/>
      <w:pPr>
        <w:widowControl/>
        <w:ind w:left="2520" w:hanging="420"/>
        <w:textAlignment w:val="baseline"/>
      </w:pPr>
      <w:rPr>
        <w:rStyle w:val="10"/>
      </w:rPr>
    </w:lvl>
    <w:lvl w:ilvl="6" w:tentative="0">
      <w:start w:val="1"/>
      <w:numFmt w:val="decimal"/>
      <w:lvlText w:val="%1."/>
      <w:lvlJc w:val="left"/>
      <w:pPr>
        <w:widowControl/>
        <w:ind w:left="2940" w:hanging="420"/>
        <w:textAlignment w:val="baseline"/>
      </w:pPr>
      <w:rPr>
        <w:rStyle w:val="10"/>
      </w:rPr>
    </w:lvl>
    <w:lvl w:ilvl="7" w:tentative="0">
      <w:start w:val="1"/>
      <w:numFmt w:val="lowerLetter"/>
      <w:lvlText w:val="%1)"/>
      <w:lvlJc w:val="left"/>
      <w:pPr>
        <w:widowControl/>
        <w:ind w:left="3360" w:hanging="420"/>
        <w:textAlignment w:val="baseline"/>
      </w:pPr>
      <w:rPr>
        <w:rStyle w:val="10"/>
      </w:rPr>
    </w:lvl>
    <w:lvl w:ilvl="8" w:tentative="0">
      <w:start w:val="1"/>
      <w:numFmt w:val="lowerRoman"/>
      <w:lvlText w:val="%1."/>
      <w:lvlJc w:val="right"/>
      <w:pPr>
        <w:widowControl/>
        <w:ind w:left="3780" w:hanging="420"/>
        <w:textAlignment w:val="baseline"/>
      </w:pPr>
      <w:rPr>
        <w:rStyle w:val="10"/>
      </w:rPr>
    </w:lvl>
  </w:abstractNum>
  <w:abstractNum w:abstractNumId="4">
    <w:nsid w:val="00000005"/>
    <w:multiLevelType w:val="multilevel"/>
    <w:tmpl w:val="00000005"/>
    <w:lvl w:ilvl="0" w:tentative="0">
      <w:start w:val="1"/>
      <w:numFmt w:val="bullet"/>
      <w:lvlText w:val=""/>
      <w:lvlJc w:val="left"/>
      <w:pPr>
        <w:widowControl/>
        <w:tabs>
          <w:tab w:val="left" w:pos="840"/>
        </w:tabs>
        <w:ind w:left="840" w:hanging="420"/>
        <w:textAlignment w:val="baseline"/>
      </w:pPr>
      <w:rPr>
        <w:rStyle w:val="10"/>
        <w:rFonts w:ascii="Wingdings" w:hAnsi="Wingdings"/>
      </w:rPr>
    </w:lvl>
    <w:lvl w:ilvl="1" w:tentative="0">
      <w:start w:val="1"/>
      <w:numFmt w:val="bullet"/>
      <w:lvlText w:val=""/>
      <w:lvlJc w:val="left"/>
      <w:pPr>
        <w:widowControl/>
        <w:tabs>
          <w:tab w:val="left" w:pos="1260"/>
        </w:tabs>
        <w:ind w:left="1260" w:hanging="420"/>
        <w:textAlignment w:val="baseline"/>
      </w:pPr>
      <w:rPr>
        <w:rStyle w:val="10"/>
        <w:rFonts w:ascii="Wingdings" w:hAnsi="Wingdings"/>
      </w:rPr>
    </w:lvl>
    <w:lvl w:ilvl="2" w:tentative="0">
      <w:start w:val="1"/>
      <w:numFmt w:val="bullet"/>
      <w:lvlText w:val=""/>
      <w:lvlJc w:val="left"/>
      <w:pPr>
        <w:widowControl/>
        <w:tabs>
          <w:tab w:val="left" w:pos="1680"/>
        </w:tabs>
        <w:ind w:left="1680" w:hanging="420"/>
        <w:textAlignment w:val="baseline"/>
      </w:pPr>
      <w:rPr>
        <w:rStyle w:val="10"/>
        <w:rFonts w:ascii="Wingdings" w:hAnsi="Wingdings"/>
      </w:rPr>
    </w:lvl>
    <w:lvl w:ilvl="3" w:tentative="0">
      <w:start w:val="1"/>
      <w:numFmt w:val="bullet"/>
      <w:lvlText w:val=""/>
      <w:lvlJc w:val="left"/>
      <w:pPr>
        <w:widowControl/>
        <w:tabs>
          <w:tab w:val="left" w:pos="2100"/>
        </w:tabs>
        <w:ind w:left="2100" w:hanging="420"/>
        <w:textAlignment w:val="baseline"/>
      </w:pPr>
      <w:rPr>
        <w:rStyle w:val="10"/>
        <w:rFonts w:ascii="Wingdings" w:hAnsi="Wingdings"/>
      </w:rPr>
    </w:lvl>
    <w:lvl w:ilvl="4" w:tentative="0">
      <w:start w:val="1"/>
      <w:numFmt w:val="bullet"/>
      <w:lvlText w:val=""/>
      <w:lvlJc w:val="left"/>
      <w:pPr>
        <w:widowControl/>
        <w:tabs>
          <w:tab w:val="left" w:pos="2520"/>
        </w:tabs>
        <w:ind w:left="2520" w:hanging="420"/>
        <w:textAlignment w:val="baseline"/>
      </w:pPr>
      <w:rPr>
        <w:rStyle w:val="10"/>
        <w:rFonts w:ascii="Wingdings" w:hAnsi="Wingdings"/>
      </w:rPr>
    </w:lvl>
    <w:lvl w:ilvl="5" w:tentative="0">
      <w:start w:val="1"/>
      <w:numFmt w:val="bullet"/>
      <w:lvlText w:val=""/>
      <w:lvlJc w:val="left"/>
      <w:pPr>
        <w:widowControl/>
        <w:tabs>
          <w:tab w:val="left" w:pos="2940"/>
        </w:tabs>
        <w:ind w:left="2940" w:hanging="420"/>
        <w:textAlignment w:val="baseline"/>
      </w:pPr>
      <w:rPr>
        <w:rStyle w:val="10"/>
        <w:rFonts w:ascii="Wingdings" w:hAnsi="Wingdings"/>
      </w:rPr>
    </w:lvl>
    <w:lvl w:ilvl="6" w:tentative="0">
      <w:start w:val="1"/>
      <w:numFmt w:val="bullet"/>
      <w:lvlText w:val=""/>
      <w:lvlJc w:val="left"/>
      <w:pPr>
        <w:widowControl/>
        <w:tabs>
          <w:tab w:val="left" w:pos="3360"/>
        </w:tabs>
        <w:ind w:left="3360" w:hanging="420"/>
        <w:textAlignment w:val="baseline"/>
      </w:pPr>
      <w:rPr>
        <w:rStyle w:val="10"/>
        <w:rFonts w:ascii="Wingdings" w:hAnsi="Wingdings"/>
      </w:rPr>
    </w:lvl>
    <w:lvl w:ilvl="7" w:tentative="0">
      <w:start w:val="1"/>
      <w:numFmt w:val="bullet"/>
      <w:lvlText w:val=""/>
      <w:lvlJc w:val="left"/>
      <w:pPr>
        <w:widowControl/>
        <w:tabs>
          <w:tab w:val="left" w:pos="3780"/>
        </w:tabs>
        <w:ind w:left="3780" w:hanging="420"/>
        <w:textAlignment w:val="baseline"/>
      </w:pPr>
      <w:rPr>
        <w:rStyle w:val="10"/>
        <w:rFonts w:ascii="Wingdings" w:hAnsi="Wingdings"/>
      </w:rPr>
    </w:lvl>
    <w:lvl w:ilvl="8" w:tentative="0">
      <w:start w:val="1"/>
      <w:numFmt w:val="bullet"/>
      <w:lvlText w:val=""/>
      <w:lvlJc w:val="left"/>
      <w:pPr>
        <w:widowControl/>
        <w:tabs>
          <w:tab w:val="left" w:pos="4200"/>
        </w:tabs>
        <w:ind w:left="4200" w:hanging="420"/>
        <w:textAlignment w:val="baseline"/>
      </w:pPr>
      <w:rPr>
        <w:rStyle w:val="10"/>
        <w:rFonts w:ascii="Wingdings" w:hAnsi="Wingdings"/>
      </w:rPr>
    </w:lvl>
  </w:abstractNum>
  <w:abstractNum w:abstractNumId="5">
    <w:nsid w:val="00000006"/>
    <w:multiLevelType w:val="multilevel"/>
    <w:tmpl w:val="00000006"/>
    <w:lvl w:ilvl="0" w:tentative="0">
      <w:start w:val="1"/>
      <w:numFmt w:val="decimal"/>
      <w:lvlText w:val="（%1）"/>
      <w:lvlJc w:val="left"/>
      <w:pPr>
        <w:widowControl/>
        <w:ind w:left="720" w:hanging="720"/>
        <w:textAlignment w:val="baseline"/>
      </w:pPr>
      <w:rPr>
        <w:rStyle w:val="10"/>
      </w:rPr>
    </w:lvl>
    <w:lvl w:ilvl="1" w:tentative="0">
      <w:start w:val="1"/>
      <w:numFmt w:val="lowerLetter"/>
      <w:lvlText w:val="%1)"/>
      <w:lvlJc w:val="left"/>
      <w:pPr>
        <w:widowControl/>
        <w:ind w:left="840" w:hanging="420"/>
        <w:textAlignment w:val="baseline"/>
      </w:pPr>
      <w:rPr>
        <w:rStyle w:val="10"/>
      </w:rPr>
    </w:lvl>
    <w:lvl w:ilvl="2" w:tentative="0">
      <w:start w:val="1"/>
      <w:numFmt w:val="lowerRoman"/>
      <w:lvlText w:val="%1."/>
      <w:lvlJc w:val="right"/>
      <w:pPr>
        <w:widowControl/>
        <w:ind w:left="1260" w:hanging="420"/>
        <w:textAlignment w:val="baseline"/>
      </w:pPr>
      <w:rPr>
        <w:rStyle w:val="10"/>
      </w:rPr>
    </w:lvl>
    <w:lvl w:ilvl="3" w:tentative="0">
      <w:start w:val="1"/>
      <w:numFmt w:val="decimal"/>
      <w:lvlText w:val="%1."/>
      <w:lvlJc w:val="left"/>
      <w:pPr>
        <w:widowControl/>
        <w:ind w:left="1680" w:hanging="420"/>
        <w:textAlignment w:val="baseline"/>
      </w:pPr>
      <w:rPr>
        <w:rStyle w:val="10"/>
      </w:rPr>
    </w:lvl>
    <w:lvl w:ilvl="4" w:tentative="0">
      <w:start w:val="1"/>
      <w:numFmt w:val="lowerLetter"/>
      <w:lvlText w:val="%1)"/>
      <w:lvlJc w:val="left"/>
      <w:pPr>
        <w:widowControl/>
        <w:ind w:left="2100" w:hanging="420"/>
        <w:textAlignment w:val="baseline"/>
      </w:pPr>
      <w:rPr>
        <w:rStyle w:val="10"/>
      </w:rPr>
    </w:lvl>
    <w:lvl w:ilvl="5" w:tentative="0">
      <w:start w:val="1"/>
      <w:numFmt w:val="lowerRoman"/>
      <w:lvlText w:val="%1."/>
      <w:lvlJc w:val="right"/>
      <w:pPr>
        <w:widowControl/>
        <w:ind w:left="2520" w:hanging="420"/>
        <w:textAlignment w:val="baseline"/>
      </w:pPr>
      <w:rPr>
        <w:rStyle w:val="10"/>
      </w:rPr>
    </w:lvl>
    <w:lvl w:ilvl="6" w:tentative="0">
      <w:start w:val="1"/>
      <w:numFmt w:val="decimal"/>
      <w:lvlText w:val="%1."/>
      <w:lvlJc w:val="left"/>
      <w:pPr>
        <w:widowControl/>
        <w:ind w:left="2940" w:hanging="420"/>
        <w:textAlignment w:val="baseline"/>
      </w:pPr>
      <w:rPr>
        <w:rStyle w:val="10"/>
      </w:rPr>
    </w:lvl>
    <w:lvl w:ilvl="7" w:tentative="0">
      <w:start w:val="1"/>
      <w:numFmt w:val="lowerLetter"/>
      <w:lvlText w:val="%1)"/>
      <w:lvlJc w:val="left"/>
      <w:pPr>
        <w:widowControl/>
        <w:ind w:left="3360" w:hanging="420"/>
        <w:textAlignment w:val="baseline"/>
      </w:pPr>
      <w:rPr>
        <w:rStyle w:val="10"/>
      </w:rPr>
    </w:lvl>
    <w:lvl w:ilvl="8" w:tentative="0">
      <w:start w:val="1"/>
      <w:numFmt w:val="lowerRoman"/>
      <w:lvlText w:val="%1."/>
      <w:lvlJc w:val="right"/>
      <w:pPr>
        <w:widowControl/>
        <w:ind w:left="3780" w:hanging="420"/>
        <w:textAlignment w:val="baseline"/>
      </w:pPr>
      <w:rPr>
        <w:rStyle w:val="10"/>
      </w:rPr>
    </w:lvl>
  </w:abstractNum>
  <w:abstractNum w:abstractNumId="6">
    <w:nsid w:val="00000007"/>
    <w:multiLevelType w:val="singleLevel"/>
    <w:tmpl w:val="00000007"/>
    <w:lvl w:ilvl="0" w:tentative="0">
      <w:start w:val="7"/>
      <w:numFmt w:val="decimal"/>
      <w:suff w:val="nothing"/>
      <w:lvlText w:val="%1、"/>
      <w:lvlJc w:val="left"/>
      <w:pPr>
        <w:widowControl/>
        <w:textAlignment w:val="baseline"/>
      </w:pPr>
      <w:rPr>
        <w:rStyle w:val="10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E704FD"/>
    <w:rsid w:val="02FC49EA"/>
    <w:rsid w:val="06D9245D"/>
    <w:rsid w:val="08DF3EAD"/>
    <w:rsid w:val="0F8B0F30"/>
    <w:rsid w:val="16384F37"/>
    <w:rsid w:val="16A5210B"/>
    <w:rsid w:val="1B804E1E"/>
    <w:rsid w:val="1CC658F4"/>
    <w:rsid w:val="1D75619A"/>
    <w:rsid w:val="1EA90FFE"/>
    <w:rsid w:val="1EB43E25"/>
    <w:rsid w:val="20B10F68"/>
    <w:rsid w:val="31D04F00"/>
    <w:rsid w:val="31E704FD"/>
    <w:rsid w:val="34B576ED"/>
    <w:rsid w:val="34FF5F94"/>
    <w:rsid w:val="375E232C"/>
    <w:rsid w:val="39386758"/>
    <w:rsid w:val="3E53256D"/>
    <w:rsid w:val="3EE64902"/>
    <w:rsid w:val="3F9C32DB"/>
    <w:rsid w:val="4439290C"/>
    <w:rsid w:val="4647491D"/>
    <w:rsid w:val="46CF4183"/>
    <w:rsid w:val="505C4168"/>
    <w:rsid w:val="51F0234D"/>
    <w:rsid w:val="55AF501C"/>
    <w:rsid w:val="5B606ED4"/>
    <w:rsid w:val="5CFB72A8"/>
    <w:rsid w:val="67511678"/>
    <w:rsid w:val="6C921478"/>
    <w:rsid w:val="71240FB1"/>
    <w:rsid w:val="74E36C97"/>
    <w:rsid w:val="781061DF"/>
    <w:rsid w:val="7B3D3760"/>
    <w:rsid w:val="7BA22A0F"/>
    <w:rsid w:val="7BF36860"/>
    <w:rsid w:val="7CAE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qFormat/>
    <w:uiPriority w:val="0"/>
    <w:pPr>
      <w:widowControl w:val="0"/>
      <w:spacing w:line="360" w:lineRule="auto"/>
      <w:ind w:firstLine="643" w:firstLineChars="200"/>
      <w:jc w:val="both"/>
    </w:pPr>
    <w:rPr>
      <w:rFonts w:eastAsia="仿宋_GB2312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黑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Autospacing="0" w:afterAutospacing="0" w:line="400" w:lineRule="atLeast"/>
      <w:outlineLvl w:val="1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99"/>
    <w:rPr>
      <w:color w:val="0563C1"/>
      <w:u w:val="single"/>
    </w:rPr>
  </w:style>
  <w:style w:type="character" w:customStyle="1" w:styleId="10">
    <w:name w:val="NormalCharacter"/>
    <w:link w:val="1"/>
    <w:qFormat/>
    <w:uiPriority w:val="0"/>
    <w:rPr>
      <w:rFonts w:eastAsia="仿宋_GB2312" w:asciiTheme="minorAscii" w:hAnsiTheme="minorAscii" w:cstheme="minorBidi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2021-08-16T13:31:00Z</dcterms:created>
  <dc:creator>追梦少年</dc:creator>
  <cp:lastModifiedBy>北望陈年</cp:lastModifiedBy>
  <dcterms:modified xsi:type="dcterms:W3CDTF">2021-10-29T07:16:04Z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883030745DC54422AB2A275AF26DEB0C</vt:lpwstr>
  </property>
</Properties>
</file>