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4"/>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4"/>
                    <a:srcRect l="20328" r="22957" b="38481"/>
                    <a:stretch>
                      <a:fillRect/>
                    </a:stretch>
                  </pic:blipFill>
                  <pic:spPr>
                    <a:xfrm>
                      <a:off x="0" y="0"/>
                      <a:ext cx="1421130" cy="1327785"/>
                    </a:xfrm>
                    <a:prstGeom prst="rect">
                      <a:avLst/>
                    </a:prstGeom>
                    <a:noFill/>
                    <a:ln>
                      <a:noFill/>
                    </a:ln>
                  </pic:spPr>
                </pic:pic>
              </a:graphicData>
            </a:graphic>
          </wp:inline>
        </w:drawing>
      </w:r>
    </w:p>
    <w:p>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lang w:val="en-US" w:eastAsia="zh-CN"/>
        </w:rPr>
        <w:t>3</w:t>
      </w:r>
      <w:r>
        <w:rPr>
          <w:rFonts w:hint="eastAsia" w:ascii="华文楷体" w:hAnsi="华文楷体" w:eastAsia="华文楷体" w:cs="华文楷体"/>
          <w:bCs/>
          <w:sz w:val="72"/>
          <w:szCs w:val="72"/>
        </w:rPr>
        <w:t>）</w:t>
      </w:r>
    </w:p>
    <w:tbl>
      <w:tblPr>
        <w:tblStyle w:val="14"/>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4"/>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名称：应用经济学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 0202</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4"/>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3" w:afterAutospacing="1"/>
        <w:ind w:firstLine="2880" w:firstLineChars="900"/>
        <w:jc w:val="left"/>
        <w:rPr>
          <w:rFonts w:ascii="仿宋" w:hAnsi="仿宋" w:eastAsia="仿宋" w:cs="仿宋"/>
          <w:kern w:val="0"/>
          <w:sz w:val="32"/>
          <w:szCs w:val="32"/>
        </w:rPr>
      </w:pPr>
    </w:p>
    <w:p>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w:t>
      </w:r>
      <w:r>
        <w:rPr>
          <w:rFonts w:hint="eastAsia" w:eastAsia="仿宋"/>
          <w:spacing w:val="-11"/>
          <w:kern w:val="0"/>
          <w:sz w:val="32"/>
          <w:szCs w:val="32"/>
          <w:lang w:val="en-US" w:eastAsia="zh-CN" w:bidi="ar"/>
        </w:rPr>
        <w:t>3</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12月3</w:t>
      </w:r>
      <w:r>
        <w:rPr>
          <w:rFonts w:hint="eastAsia" w:eastAsia="仿宋"/>
          <w:spacing w:val="-11"/>
          <w:kern w:val="0"/>
          <w:sz w:val="32"/>
          <w:szCs w:val="32"/>
          <w:lang w:bidi="ar"/>
        </w:rPr>
        <w:t>1</w:t>
      </w:r>
      <w:r>
        <w:rPr>
          <w:rFonts w:hint="eastAsia" w:ascii="仿宋" w:hAnsi="仿宋" w:eastAsia="仿宋" w:cs="仿宋"/>
          <w:spacing w:val="-11"/>
          <w:kern w:val="0"/>
          <w:sz w:val="32"/>
          <w:szCs w:val="32"/>
          <w:lang w:bidi="ar"/>
        </w:rPr>
        <w:t>日</w:t>
      </w:r>
    </w:p>
    <w:p>
      <w:pPr>
        <w:pStyle w:val="13"/>
      </w:pPr>
      <w:bookmarkStart w:id="0" w:name="_Hlk92203899"/>
    </w:p>
    <w:bookmarkEnd w:id="0"/>
    <w:sdt>
      <w:sdtPr>
        <w:rPr>
          <w:lang w:val="zh-CN"/>
        </w:rPr>
        <w:id w:val="-800767083"/>
        <w:docPartObj>
          <w:docPartGallery w:val="Table of Contents"/>
          <w:docPartUnique/>
        </w:docPartObj>
      </w:sdtPr>
      <w:sdtEndPr>
        <w:rPr>
          <w:b/>
          <w:bCs/>
          <w:lang w:val="zh-CN"/>
        </w:rPr>
      </w:sdtEndPr>
      <w:sdtContent>
        <w:p>
          <w:pPr>
            <w:spacing w:before="312" w:beforeLines="100" w:after="312" w:afterLines="100"/>
            <w:jc w:val="center"/>
            <w:rPr>
              <w:rFonts w:ascii="黑体" w:hAnsi="黑体" w:eastAsia="黑体" w:cs="黑体"/>
              <w:bCs/>
              <w:sz w:val="44"/>
              <w:szCs w:val="44"/>
            </w:rPr>
          </w:pPr>
          <w:bookmarkStart w:id="32" w:name="_GoBack"/>
          <w:bookmarkEnd w:id="32"/>
          <w:r>
            <w:rPr>
              <w:rFonts w:hint="eastAsia" w:ascii="黑体" w:hAnsi="黑体" w:eastAsia="黑体" w:cs="黑体"/>
              <w:bCs/>
              <w:sz w:val="44"/>
              <w:szCs w:val="44"/>
            </w:rPr>
            <w:t>目  录</w:t>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TOC \o "1-3" \h \z \u </w:instrText>
          </w:r>
          <w:r>
            <w:fldChar w:fldCharType="separate"/>
          </w:r>
          <w:r>
            <w:fldChar w:fldCharType="begin"/>
          </w:r>
          <w:r>
            <w:instrText xml:space="preserve"> HYPERLINK \l "_Toc92457801" </w:instrText>
          </w:r>
          <w:r>
            <w:fldChar w:fldCharType="separate"/>
          </w:r>
          <w:r>
            <w:rPr>
              <w:rStyle w:val="17"/>
              <w:rFonts w:ascii="黑体" w:hAnsi="黑体" w:eastAsia="黑体"/>
              <w:color w:val="auto"/>
              <w:sz w:val="24"/>
              <w:szCs w:val="22"/>
            </w:rPr>
            <w:t>一、总体概况</w:t>
          </w:r>
          <w:r>
            <w:rPr>
              <w:sz w:val="24"/>
              <w:szCs w:val="22"/>
            </w:rPr>
            <w:tab/>
          </w:r>
          <w:r>
            <w:rPr>
              <w:sz w:val="24"/>
              <w:szCs w:val="22"/>
            </w:rPr>
            <w:fldChar w:fldCharType="begin"/>
          </w:r>
          <w:r>
            <w:rPr>
              <w:sz w:val="24"/>
              <w:szCs w:val="22"/>
            </w:rPr>
            <w:instrText xml:space="preserve"> PAGEREF _Toc92457801 \h </w:instrText>
          </w:r>
          <w:r>
            <w:rPr>
              <w:sz w:val="24"/>
              <w:szCs w:val="22"/>
            </w:rPr>
            <w:fldChar w:fldCharType="separate"/>
          </w:r>
          <w:r>
            <w:rPr>
              <w:sz w:val="24"/>
              <w:szCs w:val="22"/>
            </w:rPr>
            <w:t>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"_Toc92457802" </w:instrText>
          </w:r>
          <w:r>
            <w:fldChar w:fldCharType="separate"/>
          </w:r>
          <w:r>
            <w:rPr>
              <w:rStyle w:val="17"/>
              <w:rFonts w:ascii="仿宋" w:hAnsi="仿宋" w:eastAsia="仿宋"/>
              <w:color w:val="auto"/>
              <w:sz w:val="24"/>
              <w:szCs w:val="22"/>
            </w:rPr>
            <w:t>1.学位授权点基本情况</w:t>
          </w:r>
          <w:r>
            <w:rPr>
              <w:sz w:val="24"/>
              <w:szCs w:val="22"/>
            </w:rPr>
            <w:tab/>
          </w:r>
          <w:r>
            <w:rPr>
              <w:sz w:val="24"/>
              <w:szCs w:val="22"/>
            </w:rPr>
            <w:fldChar w:fldCharType="begin"/>
          </w:r>
          <w:r>
            <w:rPr>
              <w:sz w:val="24"/>
              <w:szCs w:val="22"/>
            </w:rPr>
            <w:instrText xml:space="preserve"> PAGEREF _Toc92457802 \h </w:instrText>
          </w:r>
          <w:r>
            <w:rPr>
              <w:sz w:val="24"/>
              <w:szCs w:val="22"/>
            </w:rPr>
            <w:fldChar w:fldCharType="separate"/>
          </w:r>
          <w:r>
            <w:rPr>
              <w:sz w:val="24"/>
              <w:szCs w:val="22"/>
            </w:rPr>
            <w:t>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"_Toc92457803" </w:instrText>
          </w:r>
          <w:r>
            <w:fldChar w:fldCharType="separate"/>
          </w:r>
          <w:r>
            <w:rPr>
              <w:rStyle w:val="17"/>
              <w:rFonts w:ascii="仿宋" w:hAnsi="仿宋" w:eastAsia="仿宋"/>
              <w:color w:val="auto"/>
              <w:sz w:val="24"/>
              <w:szCs w:val="22"/>
            </w:rPr>
            <w:t>2.学位授权点建设情况</w:t>
          </w:r>
          <w:r>
            <w:rPr>
              <w:sz w:val="24"/>
              <w:szCs w:val="22"/>
            </w:rPr>
            <w:tab/>
          </w:r>
          <w:r>
            <w:rPr>
              <w:sz w:val="24"/>
              <w:szCs w:val="22"/>
            </w:rPr>
            <w:fldChar w:fldCharType="begin"/>
          </w:r>
          <w:r>
            <w:rPr>
              <w:sz w:val="24"/>
              <w:szCs w:val="22"/>
            </w:rPr>
            <w:instrText xml:space="preserve"> PAGEREF _Toc92457803 \h </w:instrText>
          </w:r>
          <w:r>
            <w:rPr>
              <w:sz w:val="24"/>
              <w:szCs w:val="22"/>
            </w:rPr>
            <w:fldChar w:fldCharType="separate"/>
          </w:r>
          <w:r>
            <w:rPr>
              <w:sz w:val="24"/>
              <w:szCs w:val="22"/>
            </w:rPr>
            <w:t>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"_Toc92457804" </w:instrText>
          </w:r>
          <w:r>
            <w:fldChar w:fldCharType="separate"/>
          </w:r>
          <w:r>
            <w:rPr>
              <w:rStyle w:val="17"/>
              <w:rFonts w:ascii="仿宋" w:hAnsi="仿宋" w:eastAsia="仿宋"/>
              <w:color w:val="auto"/>
              <w:sz w:val="24"/>
              <w:szCs w:val="22"/>
            </w:rPr>
            <w:t>3.研究生招生就业情况</w:t>
          </w:r>
          <w:r>
            <w:rPr>
              <w:sz w:val="24"/>
              <w:szCs w:val="22"/>
            </w:rPr>
            <w:tab/>
          </w:r>
          <w:r>
            <w:rPr>
              <w:sz w:val="24"/>
              <w:szCs w:val="22"/>
            </w:rPr>
            <w:fldChar w:fldCharType="begin"/>
          </w:r>
          <w:r>
            <w:rPr>
              <w:sz w:val="24"/>
              <w:szCs w:val="22"/>
            </w:rPr>
            <w:instrText xml:space="preserve"> PAGEREF _Toc92457804 \h </w:instrText>
          </w:r>
          <w:r>
            <w:rPr>
              <w:sz w:val="24"/>
              <w:szCs w:val="22"/>
            </w:rPr>
            <w:fldChar w:fldCharType="separate"/>
          </w:r>
          <w:r>
            <w:rPr>
              <w:sz w:val="24"/>
              <w:szCs w:val="22"/>
            </w:rPr>
            <w:t>5</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"_Toc92457805" </w:instrText>
          </w:r>
          <w:r>
            <w:fldChar w:fldCharType="separate"/>
          </w:r>
          <w:r>
            <w:rPr>
              <w:rStyle w:val="17"/>
              <w:rFonts w:ascii="仿宋" w:hAnsi="仿宋" w:eastAsia="仿宋"/>
              <w:color w:val="auto"/>
              <w:sz w:val="24"/>
              <w:szCs w:val="22"/>
            </w:rPr>
            <w:t>4.研究生导师状况</w:t>
          </w:r>
          <w:r>
            <w:rPr>
              <w:sz w:val="24"/>
              <w:szCs w:val="22"/>
            </w:rPr>
            <w:tab/>
          </w:r>
          <w:r>
            <w:rPr>
              <w:sz w:val="24"/>
              <w:szCs w:val="22"/>
            </w:rPr>
            <w:fldChar w:fldCharType="begin"/>
          </w:r>
          <w:r>
            <w:rPr>
              <w:sz w:val="24"/>
              <w:szCs w:val="22"/>
            </w:rPr>
            <w:instrText xml:space="preserve"> PAGEREF _Toc92457805 \h </w:instrText>
          </w:r>
          <w:r>
            <w:rPr>
              <w:sz w:val="24"/>
              <w:szCs w:val="22"/>
            </w:rPr>
            <w:fldChar w:fldCharType="separate"/>
          </w:r>
          <w:r>
            <w:rPr>
              <w:sz w:val="24"/>
              <w:szCs w:val="22"/>
            </w:rPr>
            <w:t>6</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"_Toc92457806" </w:instrText>
          </w:r>
          <w:r>
            <w:fldChar w:fldCharType="separate"/>
          </w:r>
          <w:r>
            <w:rPr>
              <w:rStyle w:val="17"/>
              <w:rFonts w:ascii="黑体" w:hAnsi="黑体" w:eastAsia="黑体"/>
              <w:color w:val="auto"/>
              <w:sz w:val="24"/>
              <w:szCs w:val="22"/>
            </w:rPr>
            <w:t>二、研究生党建与思想政治教育工作</w:t>
          </w:r>
          <w:r>
            <w:rPr>
              <w:sz w:val="24"/>
              <w:szCs w:val="22"/>
            </w:rPr>
            <w:tab/>
          </w:r>
          <w:r>
            <w:rPr>
              <w:sz w:val="24"/>
              <w:szCs w:val="22"/>
            </w:rPr>
            <w:fldChar w:fldCharType="begin"/>
          </w:r>
          <w:r>
            <w:rPr>
              <w:sz w:val="24"/>
              <w:szCs w:val="22"/>
            </w:rPr>
            <w:instrText xml:space="preserve"> PAGEREF _Toc92457806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"_Toc92457807" </w:instrText>
          </w:r>
          <w:r>
            <w:fldChar w:fldCharType="separate"/>
          </w:r>
          <w:r>
            <w:rPr>
              <w:rStyle w:val="17"/>
              <w:rFonts w:ascii="仿宋" w:hAnsi="仿宋" w:eastAsia="仿宋"/>
              <w:color w:val="auto"/>
              <w:w w:val="110"/>
              <w:sz w:val="24"/>
              <w:szCs w:val="22"/>
            </w:rPr>
            <w:t>1. 思想政治教育队伍建设</w:t>
          </w:r>
          <w:r>
            <w:rPr>
              <w:sz w:val="24"/>
              <w:szCs w:val="22"/>
            </w:rPr>
            <w:tab/>
          </w:r>
          <w:r>
            <w:rPr>
              <w:sz w:val="24"/>
              <w:szCs w:val="22"/>
            </w:rPr>
            <w:fldChar w:fldCharType="begin"/>
          </w:r>
          <w:r>
            <w:rPr>
              <w:sz w:val="24"/>
              <w:szCs w:val="22"/>
            </w:rPr>
            <w:instrText xml:space="preserve"> PAGEREF _Toc92457807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"_Toc92457808" </w:instrText>
          </w:r>
          <w:r>
            <w:fldChar w:fldCharType="separate"/>
          </w:r>
          <w:r>
            <w:rPr>
              <w:rStyle w:val="17"/>
              <w:rFonts w:ascii="仿宋" w:hAnsi="仿宋" w:eastAsia="仿宋"/>
              <w:color w:val="auto"/>
              <w:w w:val="110"/>
              <w:sz w:val="24"/>
              <w:szCs w:val="22"/>
            </w:rPr>
            <w:t>2. 理想信念和社会主义核心价值观教育</w:t>
          </w:r>
          <w:r>
            <w:rPr>
              <w:sz w:val="24"/>
              <w:szCs w:val="22"/>
            </w:rPr>
            <w:tab/>
          </w:r>
          <w:r>
            <w:rPr>
              <w:sz w:val="24"/>
              <w:szCs w:val="22"/>
            </w:rPr>
            <w:fldChar w:fldCharType="begin"/>
          </w:r>
          <w:r>
            <w:rPr>
              <w:sz w:val="24"/>
              <w:szCs w:val="22"/>
            </w:rPr>
            <w:instrText xml:space="preserve"> PAGEREF _Toc92457808 \h </w:instrText>
          </w:r>
          <w:r>
            <w:rPr>
              <w:sz w:val="24"/>
              <w:szCs w:val="22"/>
            </w:rPr>
            <w:fldChar w:fldCharType="separate"/>
          </w:r>
          <w:r>
            <w:rPr>
              <w:sz w:val="24"/>
              <w:szCs w:val="22"/>
            </w:rPr>
            <w:t>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"_Toc92457809" </w:instrText>
          </w:r>
          <w:r>
            <w:fldChar w:fldCharType="separate"/>
          </w:r>
          <w:r>
            <w:rPr>
              <w:rStyle w:val="17"/>
              <w:rFonts w:ascii="仿宋" w:hAnsi="仿宋" w:eastAsia="仿宋"/>
              <w:color w:val="auto"/>
              <w:w w:val="110"/>
              <w:sz w:val="24"/>
              <w:szCs w:val="22"/>
            </w:rPr>
            <w:t>3.学位点</w:t>
          </w:r>
          <w:r>
            <w:rPr>
              <w:rStyle w:val="17"/>
              <w:rFonts w:ascii="仿宋" w:hAnsi="仿宋" w:eastAsia="仿宋"/>
              <w:color w:val="auto"/>
              <w:sz w:val="24"/>
              <w:szCs w:val="22"/>
            </w:rPr>
            <w:t>文化</w:t>
          </w:r>
          <w:r>
            <w:rPr>
              <w:rStyle w:val="17"/>
              <w:rFonts w:ascii="仿宋" w:hAnsi="仿宋" w:eastAsia="仿宋"/>
              <w:color w:val="auto"/>
              <w:w w:val="110"/>
              <w:sz w:val="24"/>
              <w:szCs w:val="22"/>
            </w:rPr>
            <w:t>建设情况</w:t>
          </w:r>
          <w:r>
            <w:rPr>
              <w:sz w:val="24"/>
              <w:szCs w:val="22"/>
            </w:rPr>
            <w:tab/>
          </w:r>
          <w:r>
            <w:rPr>
              <w:sz w:val="24"/>
              <w:szCs w:val="22"/>
            </w:rPr>
            <w:fldChar w:fldCharType="begin"/>
          </w:r>
          <w:r>
            <w:rPr>
              <w:sz w:val="24"/>
              <w:szCs w:val="22"/>
            </w:rPr>
            <w:instrText xml:space="preserve"> PAGEREF _Toc92457809 \h </w:instrText>
          </w:r>
          <w:r>
            <w:rPr>
              <w:sz w:val="24"/>
              <w:szCs w:val="22"/>
            </w:rPr>
            <w:fldChar w:fldCharType="separate"/>
          </w:r>
          <w:r>
            <w:rPr>
              <w:sz w:val="24"/>
              <w:szCs w:val="22"/>
            </w:rPr>
            <w:t>8</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"_Toc92457810" </w:instrText>
          </w:r>
          <w:r>
            <w:fldChar w:fldCharType="separate"/>
          </w:r>
          <w:r>
            <w:rPr>
              <w:rStyle w:val="17"/>
              <w:rFonts w:ascii="仿宋" w:hAnsi="仿宋" w:eastAsia="仿宋"/>
              <w:color w:val="auto"/>
              <w:w w:val="110"/>
              <w:sz w:val="24"/>
              <w:szCs w:val="22"/>
            </w:rPr>
            <w:t>4. 学位点日常管理、服务工作情况</w:t>
          </w:r>
          <w:r>
            <w:rPr>
              <w:sz w:val="24"/>
              <w:szCs w:val="22"/>
            </w:rPr>
            <w:tab/>
          </w:r>
          <w:r>
            <w:rPr>
              <w:sz w:val="24"/>
              <w:szCs w:val="22"/>
            </w:rPr>
            <w:fldChar w:fldCharType="begin"/>
          </w:r>
          <w:r>
            <w:rPr>
              <w:sz w:val="24"/>
              <w:szCs w:val="22"/>
            </w:rPr>
            <w:instrText xml:space="preserve"> PAGEREF _Toc92457810 \h </w:instrText>
          </w:r>
          <w:r>
            <w:rPr>
              <w:sz w:val="24"/>
              <w:szCs w:val="22"/>
            </w:rPr>
            <w:fldChar w:fldCharType="separate"/>
          </w:r>
          <w:r>
            <w:rPr>
              <w:sz w:val="24"/>
              <w:szCs w:val="22"/>
            </w:rPr>
            <w:t>9</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"_Toc92457811" </w:instrText>
          </w:r>
          <w:r>
            <w:fldChar w:fldCharType="separate"/>
          </w:r>
          <w:r>
            <w:rPr>
              <w:rStyle w:val="17"/>
              <w:rFonts w:ascii="黑体" w:hAnsi="黑体" w:eastAsia="黑体"/>
              <w:color w:val="auto"/>
              <w:sz w:val="24"/>
              <w:szCs w:val="22"/>
            </w:rPr>
            <w:t>三、研究生培养相关制度及执行情况</w:t>
          </w:r>
          <w:r>
            <w:rPr>
              <w:sz w:val="24"/>
              <w:szCs w:val="22"/>
            </w:rPr>
            <w:tab/>
          </w:r>
          <w:r>
            <w:rPr>
              <w:sz w:val="24"/>
              <w:szCs w:val="22"/>
            </w:rPr>
            <w:fldChar w:fldCharType="begin"/>
          </w:r>
          <w:r>
            <w:rPr>
              <w:sz w:val="24"/>
              <w:szCs w:val="22"/>
            </w:rPr>
            <w:instrText xml:space="preserve"> PAGEREF _Toc92457811 \h </w:instrText>
          </w:r>
          <w:r>
            <w:rPr>
              <w:sz w:val="24"/>
              <w:szCs w:val="22"/>
            </w:rPr>
            <w:fldChar w:fldCharType="separate"/>
          </w:r>
          <w:r>
            <w:rPr>
              <w:sz w:val="24"/>
              <w:szCs w:val="22"/>
            </w:rPr>
            <w:t>10</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"_Toc92457812" </w:instrText>
          </w:r>
          <w:r>
            <w:fldChar w:fldCharType="separate"/>
          </w:r>
          <w:r>
            <w:rPr>
              <w:rStyle w:val="17"/>
              <w:rFonts w:ascii="仿宋" w:hAnsi="仿宋" w:eastAsia="仿宋"/>
              <w:color w:val="auto"/>
              <w:w w:val="110"/>
              <w:sz w:val="24"/>
              <w:szCs w:val="22"/>
            </w:rPr>
            <w:t>1. 课程建设与实施情况</w:t>
          </w:r>
          <w:r>
            <w:rPr>
              <w:sz w:val="24"/>
              <w:szCs w:val="22"/>
            </w:rPr>
            <w:tab/>
          </w:r>
          <w:r>
            <w:rPr>
              <w:sz w:val="24"/>
              <w:szCs w:val="22"/>
            </w:rPr>
            <w:fldChar w:fldCharType="begin"/>
          </w:r>
          <w:r>
            <w:rPr>
              <w:sz w:val="24"/>
              <w:szCs w:val="22"/>
            </w:rPr>
            <w:instrText xml:space="preserve"> PAGEREF _Toc92457812 \h </w:instrText>
          </w:r>
          <w:r>
            <w:rPr>
              <w:sz w:val="24"/>
              <w:szCs w:val="22"/>
            </w:rPr>
            <w:fldChar w:fldCharType="separate"/>
          </w:r>
          <w:r>
            <w:rPr>
              <w:sz w:val="24"/>
              <w:szCs w:val="22"/>
            </w:rPr>
            <w:t>10</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"_Toc92457813" </w:instrText>
          </w:r>
          <w:r>
            <w:fldChar w:fldCharType="separate"/>
          </w:r>
          <w:r>
            <w:rPr>
              <w:rStyle w:val="17"/>
              <w:rFonts w:ascii="仿宋" w:hAnsi="仿宋" w:eastAsia="仿宋"/>
              <w:color w:val="auto"/>
              <w:w w:val="110"/>
              <w:sz w:val="24"/>
              <w:szCs w:val="22"/>
            </w:rPr>
            <w:t>2. 导师</w:t>
          </w:r>
          <w:r>
            <w:rPr>
              <w:rStyle w:val="17"/>
              <w:rFonts w:ascii="仿宋" w:hAnsi="仿宋" w:eastAsia="仿宋"/>
              <w:color w:val="auto"/>
              <w:sz w:val="24"/>
              <w:szCs w:val="22"/>
            </w:rPr>
            <w:t>选拔</w:t>
          </w:r>
          <w:r>
            <w:rPr>
              <w:rStyle w:val="17"/>
              <w:rFonts w:ascii="仿宋" w:hAnsi="仿宋" w:eastAsia="仿宋"/>
              <w:color w:val="auto"/>
              <w:w w:val="110"/>
              <w:sz w:val="24"/>
              <w:szCs w:val="22"/>
            </w:rPr>
            <w:t>与培训情况</w:t>
          </w:r>
          <w:r>
            <w:rPr>
              <w:sz w:val="24"/>
              <w:szCs w:val="22"/>
            </w:rPr>
            <w:tab/>
          </w:r>
          <w:r>
            <w:rPr>
              <w:sz w:val="24"/>
              <w:szCs w:val="22"/>
            </w:rPr>
            <w:fldChar w:fldCharType="begin"/>
          </w:r>
          <w:r>
            <w:rPr>
              <w:sz w:val="24"/>
              <w:szCs w:val="22"/>
            </w:rPr>
            <w:instrText xml:space="preserve"> PAGEREF _Toc92457813 \h </w:instrText>
          </w:r>
          <w:r>
            <w:rPr>
              <w:sz w:val="24"/>
              <w:szCs w:val="22"/>
            </w:rPr>
            <w:fldChar w:fldCharType="separate"/>
          </w:r>
          <w:r>
            <w:rPr>
              <w:sz w:val="24"/>
              <w:szCs w:val="22"/>
            </w:rPr>
            <w:t>11</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"_Toc92457814" </w:instrText>
          </w:r>
          <w:r>
            <w:fldChar w:fldCharType="separate"/>
          </w:r>
          <w:r>
            <w:rPr>
              <w:rStyle w:val="17"/>
              <w:rFonts w:ascii="仿宋" w:hAnsi="仿宋" w:eastAsia="仿宋"/>
              <w:color w:val="auto"/>
              <w:w w:val="110"/>
              <w:sz w:val="24"/>
              <w:szCs w:val="22"/>
            </w:rPr>
            <w:t>3. 师德师风</w:t>
          </w:r>
          <w:r>
            <w:rPr>
              <w:rStyle w:val="17"/>
              <w:rFonts w:ascii="仿宋" w:hAnsi="仿宋" w:eastAsia="仿宋"/>
              <w:color w:val="auto"/>
              <w:sz w:val="24"/>
              <w:szCs w:val="22"/>
            </w:rPr>
            <w:t>建设</w:t>
          </w:r>
          <w:r>
            <w:rPr>
              <w:rStyle w:val="17"/>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_Toc92457814 \h </w:instrText>
          </w:r>
          <w:r>
            <w:rPr>
              <w:sz w:val="24"/>
              <w:szCs w:val="22"/>
            </w:rPr>
            <w:fldChar w:fldCharType="separate"/>
          </w:r>
          <w:r>
            <w:rPr>
              <w:sz w:val="24"/>
              <w:szCs w:val="22"/>
            </w:rPr>
            <w:t>12</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"_Toc92457815" </w:instrText>
          </w:r>
          <w:r>
            <w:fldChar w:fldCharType="separate"/>
          </w:r>
          <w:r>
            <w:rPr>
              <w:rStyle w:val="17"/>
              <w:rFonts w:ascii="仿宋" w:hAnsi="仿宋" w:eastAsia="仿宋"/>
              <w:color w:val="auto"/>
              <w:w w:val="110"/>
              <w:sz w:val="24"/>
              <w:szCs w:val="22"/>
            </w:rPr>
            <w:t xml:space="preserve">4. </w:t>
          </w:r>
          <w:r>
            <w:rPr>
              <w:rStyle w:val="17"/>
              <w:rFonts w:ascii="仿宋" w:hAnsi="仿宋" w:eastAsia="仿宋"/>
              <w:color w:val="auto"/>
              <w:sz w:val="24"/>
              <w:szCs w:val="22"/>
            </w:rPr>
            <w:t>学术</w:t>
          </w:r>
          <w:r>
            <w:rPr>
              <w:rStyle w:val="17"/>
              <w:rFonts w:ascii="仿宋" w:hAnsi="仿宋" w:eastAsia="仿宋"/>
              <w:color w:val="auto"/>
              <w:w w:val="110"/>
              <w:sz w:val="24"/>
              <w:szCs w:val="22"/>
            </w:rPr>
            <w:t>训练情况</w:t>
          </w:r>
          <w:r>
            <w:rPr>
              <w:sz w:val="24"/>
              <w:szCs w:val="22"/>
            </w:rPr>
            <w:tab/>
          </w:r>
          <w:r>
            <w:rPr>
              <w:sz w:val="24"/>
              <w:szCs w:val="22"/>
            </w:rPr>
            <w:fldChar w:fldCharType="begin"/>
          </w:r>
          <w:r>
            <w:rPr>
              <w:sz w:val="24"/>
              <w:szCs w:val="22"/>
            </w:rPr>
            <w:instrText xml:space="preserve"> PAGEREF _Toc92457815 \h </w:instrText>
          </w:r>
          <w:r>
            <w:rPr>
              <w:sz w:val="24"/>
              <w:szCs w:val="22"/>
            </w:rPr>
            <w:fldChar w:fldCharType="separate"/>
          </w:r>
          <w:r>
            <w:rPr>
              <w:sz w:val="24"/>
              <w:szCs w:val="22"/>
            </w:rPr>
            <w:t>12</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"_Toc92457816" </w:instrText>
          </w:r>
          <w:r>
            <w:fldChar w:fldCharType="separate"/>
          </w:r>
          <w:r>
            <w:rPr>
              <w:rStyle w:val="17"/>
              <w:rFonts w:ascii="仿宋" w:hAnsi="仿宋" w:eastAsia="仿宋"/>
              <w:color w:val="auto"/>
              <w:w w:val="110"/>
              <w:sz w:val="24"/>
              <w:szCs w:val="22"/>
            </w:rPr>
            <w:t>5. 学术</w:t>
          </w:r>
          <w:r>
            <w:rPr>
              <w:rStyle w:val="17"/>
              <w:rFonts w:ascii="仿宋" w:hAnsi="仿宋" w:eastAsia="仿宋"/>
              <w:color w:val="auto"/>
              <w:sz w:val="24"/>
              <w:szCs w:val="22"/>
            </w:rPr>
            <w:t>交流</w:t>
          </w:r>
          <w:r>
            <w:rPr>
              <w:rStyle w:val="17"/>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_Toc92457816 \h </w:instrText>
          </w:r>
          <w:r>
            <w:rPr>
              <w:sz w:val="24"/>
              <w:szCs w:val="22"/>
            </w:rPr>
            <w:fldChar w:fldCharType="separate"/>
          </w:r>
          <w:r>
            <w:rPr>
              <w:sz w:val="24"/>
              <w:szCs w:val="22"/>
            </w:rPr>
            <w:t>13</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"_Toc92457817" </w:instrText>
          </w:r>
          <w:r>
            <w:fldChar w:fldCharType="separate"/>
          </w:r>
          <w:r>
            <w:rPr>
              <w:rStyle w:val="17"/>
              <w:rFonts w:ascii="仿宋" w:hAnsi="仿宋" w:eastAsia="仿宋"/>
              <w:color w:val="auto"/>
              <w:w w:val="110"/>
              <w:sz w:val="24"/>
              <w:szCs w:val="22"/>
            </w:rPr>
            <w:t>6. 研究生奖助情况</w:t>
          </w:r>
          <w:r>
            <w:rPr>
              <w:sz w:val="24"/>
              <w:szCs w:val="22"/>
            </w:rPr>
            <w:tab/>
          </w:r>
          <w:r>
            <w:rPr>
              <w:sz w:val="24"/>
              <w:szCs w:val="22"/>
            </w:rPr>
            <w:fldChar w:fldCharType="begin"/>
          </w:r>
          <w:r>
            <w:rPr>
              <w:sz w:val="24"/>
              <w:szCs w:val="22"/>
            </w:rPr>
            <w:instrText xml:space="preserve"> PAGEREF _Toc92457817 \h </w:instrText>
          </w:r>
          <w:r>
            <w:rPr>
              <w:sz w:val="24"/>
              <w:szCs w:val="22"/>
            </w:rPr>
            <w:fldChar w:fldCharType="separate"/>
          </w:r>
          <w:r>
            <w:rPr>
              <w:sz w:val="24"/>
              <w:szCs w:val="22"/>
            </w:rPr>
            <w:t>15</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"_Toc92457818" </w:instrText>
          </w:r>
          <w:r>
            <w:fldChar w:fldCharType="separate"/>
          </w:r>
          <w:r>
            <w:rPr>
              <w:rStyle w:val="17"/>
              <w:rFonts w:ascii="黑体" w:hAnsi="黑体" w:eastAsia="黑体"/>
              <w:color w:val="auto"/>
              <w:sz w:val="24"/>
              <w:szCs w:val="22"/>
            </w:rPr>
            <w:t>四、研究生教育改革情况</w:t>
          </w:r>
          <w:r>
            <w:rPr>
              <w:sz w:val="24"/>
              <w:szCs w:val="22"/>
            </w:rPr>
            <w:tab/>
          </w:r>
          <w:r>
            <w:rPr>
              <w:sz w:val="24"/>
              <w:szCs w:val="22"/>
            </w:rPr>
            <w:fldChar w:fldCharType="begin"/>
          </w:r>
          <w:r>
            <w:rPr>
              <w:sz w:val="24"/>
              <w:szCs w:val="22"/>
            </w:rPr>
            <w:instrText xml:space="preserve"> PAGEREF _Toc92457818 \h </w:instrText>
          </w:r>
          <w:r>
            <w:rPr>
              <w:sz w:val="24"/>
              <w:szCs w:val="22"/>
            </w:rPr>
            <w:fldChar w:fldCharType="separate"/>
          </w:r>
          <w:r>
            <w:rPr>
              <w:sz w:val="24"/>
              <w:szCs w:val="22"/>
            </w:rPr>
            <w:t>15</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"_Toc92457819" </w:instrText>
          </w:r>
          <w:r>
            <w:fldChar w:fldCharType="separate"/>
          </w:r>
          <w:r>
            <w:rPr>
              <w:rStyle w:val="17"/>
              <w:rFonts w:ascii="仿宋" w:hAnsi="仿宋" w:eastAsia="仿宋"/>
              <w:color w:val="auto"/>
              <w:w w:val="110"/>
              <w:sz w:val="24"/>
              <w:szCs w:val="22"/>
            </w:rPr>
            <w:t>1. 人才</w:t>
          </w:r>
          <w:r>
            <w:rPr>
              <w:rStyle w:val="17"/>
              <w:rFonts w:ascii="仿宋" w:hAnsi="仿宋" w:eastAsia="仿宋"/>
              <w:color w:val="auto"/>
              <w:sz w:val="24"/>
              <w:szCs w:val="22"/>
            </w:rPr>
            <w:t>培养</w:t>
          </w:r>
          <w:r>
            <w:rPr>
              <w:rStyle w:val="17"/>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_Toc92457819 \h </w:instrText>
          </w:r>
          <w:r>
            <w:rPr>
              <w:sz w:val="24"/>
              <w:szCs w:val="22"/>
            </w:rPr>
            <w:fldChar w:fldCharType="separate"/>
          </w:r>
          <w:r>
            <w:rPr>
              <w:sz w:val="24"/>
              <w:szCs w:val="22"/>
            </w:rPr>
            <w:t>15</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"_Toc92457820" </w:instrText>
          </w:r>
          <w:r>
            <w:fldChar w:fldCharType="separate"/>
          </w:r>
          <w:r>
            <w:rPr>
              <w:rStyle w:val="17"/>
              <w:rFonts w:ascii="仿宋" w:hAnsi="仿宋" w:eastAsia="仿宋"/>
              <w:color w:val="auto"/>
              <w:w w:val="110"/>
              <w:sz w:val="24"/>
              <w:szCs w:val="22"/>
            </w:rPr>
            <w:t>2. 教师队伍</w:t>
          </w:r>
          <w:r>
            <w:rPr>
              <w:rStyle w:val="17"/>
              <w:rFonts w:ascii="仿宋" w:hAnsi="仿宋" w:eastAsia="仿宋"/>
              <w:color w:val="auto"/>
              <w:sz w:val="24"/>
              <w:szCs w:val="22"/>
            </w:rPr>
            <w:t>建设</w:t>
          </w:r>
          <w:r>
            <w:rPr>
              <w:rStyle w:val="17"/>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_Toc92457820 \h </w:instrText>
          </w:r>
          <w:r>
            <w:rPr>
              <w:sz w:val="24"/>
              <w:szCs w:val="22"/>
            </w:rPr>
            <w:fldChar w:fldCharType="separate"/>
          </w:r>
          <w:r>
            <w:rPr>
              <w:sz w:val="24"/>
              <w:szCs w:val="22"/>
            </w:rPr>
            <w:t>17</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"_Toc92457821" </w:instrText>
          </w:r>
          <w:r>
            <w:fldChar w:fldCharType="separate"/>
          </w:r>
          <w:r>
            <w:rPr>
              <w:rStyle w:val="17"/>
              <w:rFonts w:ascii="仿宋" w:hAnsi="仿宋" w:eastAsia="仿宋"/>
              <w:color w:val="auto"/>
              <w:w w:val="110"/>
              <w:sz w:val="24"/>
              <w:szCs w:val="22"/>
            </w:rPr>
            <w:t xml:space="preserve">3. </w:t>
          </w:r>
          <w:r>
            <w:rPr>
              <w:rStyle w:val="17"/>
              <w:rFonts w:ascii="仿宋" w:hAnsi="仿宋" w:eastAsia="仿宋"/>
              <w:color w:val="auto"/>
              <w:sz w:val="24"/>
              <w:szCs w:val="22"/>
            </w:rPr>
            <w:t>科学研究</w:t>
          </w:r>
          <w:r>
            <w:rPr>
              <w:rStyle w:val="17"/>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_Toc92457821 \h </w:instrText>
          </w:r>
          <w:r>
            <w:rPr>
              <w:sz w:val="24"/>
              <w:szCs w:val="22"/>
            </w:rPr>
            <w:fldChar w:fldCharType="separate"/>
          </w:r>
          <w:r>
            <w:rPr>
              <w:sz w:val="24"/>
              <w:szCs w:val="22"/>
            </w:rPr>
            <w:t>18</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"_Toc92457822" </w:instrText>
          </w:r>
          <w:r>
            <w:fldChar w:fldCharType="separate"/>
          </w:r>
          <w:r>
            <w:rPr>
              <w:rStyle w:val="17"/>
              <w:rFonts w:ascii="仿宋" w:hAnsi="仿宋" w:eastAsia="仿宋"/>
              <w:color w:val="auto"/>
              <w:w w:val="110"/>
              <w:sz w:val="24"/>
              <w:szCs w:val="22"/>
            </w:rPr>
            <w:t>4. 传承创新优秀学科文化情况</w:t>
          </w:r>
          <w:r>
            <w:rPr>
              <w:sz w:val="24"/>
              <w:szCs w:val="22"/>
            </w:rPr>
            <w:tab/>
          </w:r>
          <w:r>
            <w:rPr>
              <w:sz w:val="24"/>
              <w:szCs w:val="22"/>
            </w:rPr>
            <w:fldChar w:fldCharType="begin"/>
          </w:r>
          <w:r>
            <w:rPr>
              <w:sz w:val="24"/>
              <w:szCs w:val="22"/>
            </w:rPr>
            <w:instrText xml:space="preserve"> PAGEREF _Toc92457822 \h </w:instrText>
          </w:r>
          <w:r>
            <w:rPr>
              <w:sz w:val="24"/>
              <w:szCs w:val="22"/>
            </w:rPr>
            <w:fldChar w:fldCharType="separate"/>
          </w:r>
          <w:r>
            <w:rPr>
              <w:sz w:val="24"/>
              <w:szCs w:val="22"/>
            </w:rPr>
            <w:t>20</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"_Toc92457823" </w:instrText>
          </w:r>
          <w:r>
            <w:fldChar w:fldCharType="separate"/>
          </w:r>
          <w:r>
            <w:rPr>
              <w:rStyle w:val="17"/>
              <w:rFonts w:ascii="仿宋" w:hAnsi="仿宋" w:eastAsia="仿宋"/>
              <w:color w:val="auto"/>
              <w:w w:val="110"/>
              <w:sz w:val="24"/>
              <w:szCs w:val="22"/>
            </w:rPr>
            <w:t>5.国际交流合作等的改革创新情况</w:t>
          </w:r>
          <w:r>
            <w:rPr>
              <w:sz w:val="24"/>
              <w:szCs w:val="22"/>
            </w:rPr>
            <w:tab/>
          </w:r>
          <w:r>
            <w:rPr>
              <w:sz w:val="24"/>
              <w:szCs w:val="22"/>
            </w:rPr>
            <w:fldChar w:fldCharType="begin"/>
          </w:r>
          <w:r>
            <w:rPr>
              <w:sz w:val="24"/>
              <w:szCs w:val="22"/>
            </w:rPr>
            <w:instrText xml:space="preserve"> PAGEREF _Toc92457823 \h </w:instrText>
          </w:r>
          <w:r>
            <w:rPr>
              <w:sz w:val="24"/>
              <w:szCs w:val="22"/>
            </w:rPr>
            <w:fldChar w:fldCharType="separate"/>
          </w:r>
          <w:r>
            <w:rPr>
              <w:sz w:val="24"/>
              <w:szCs w:val="22"/>
            </w:rPr>
            <w:t>20</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"_Toc92457824" </w:instrText>
          </w:r>
          <w:r>
            <w:fldChar w:fldCharType="separate"/>
          </w:r>
          <w:r>
            <w:rPr>
              <w:rStyle w:val="17"/>
              <w:rFonts w:ascii="黑体" w:hAnsi="黑体" w:eastAsia="黑体"/>
              <w:color w:val="auto"/>
              <w:sz w:val="24"/>
              <w:szCs w:val="22"/>
            </w:rPr>
            <w:t>五、教育质量评估与分析</w:t>
          </w:r>
          <w:r>
            <w:rPr>
              <w:sz w:val="24"/>
              <w:szCs w:val="22"/>
            </w:rPr>
            <w:tab/>
          </w:r>
          <w:r>
            <w:rPr>
              <w:sz w:val="24"/>
              <w:szCs w:val="22"/>
            </w:rPr>
            <w:fldChar w:fldCharType="begin"/>
          </w:r>
          <w:r>
            <w:rPr>
              <w:sz w:val="24"/>
              <w:szCs w:val="22"/>
            </w:rPr>
            <w:instrText xml:space="preserve"> PAGEREF _Toc92457824 \h </w:instrText>
          </w:r>
          <w:r>
            <w:rPr>
              <w:sz w:val="24"/>
              <w:szCs w:val="22"/>
            </w:rPr>
            <w:fldChar w:fldCharType="separate"/>
          </w:r>
          <w:r>
            <w:rPr>
              <w:sz w:val="24"/>
              <w:szCs w:val="22"/>
            </w:rPr>
            <w:t>21</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"_Toc92457825" </w:instrText>
          </w:r>
          <w:r>
            <w:fldChar w:fldCharType="separate"/>
          </w:r>
          <w:r>
            <w:rPr>
              <w:rStyle w:val="17"/>
              <w:rFonts w:ascii="仿宋" w:hAnsi="仿宋" w:eastAsia="仿宋"/>
              <w:color w:val="auto"/>
              <w:w w:val="110"/>
              <w:sz w:val="24"/>
              <w:szCs w:val="22"/>
            </w:rPr>
            <w:t>1.学位授权点自我评估进展及问题分析</w:t>
          </w:r>
          <w:r>
            <w:rPr>
              <w:sz w:val="24"/>
              <w:szCs w:val="22"/>
            </w:rPr>
            <w:tab/>
          </w:r>
          <w:r>
            <w:rPr>
              <w:sz w:val="24"/>
              <w:szCs w:val="22"/>
            </w:rPr>
            <w:fldChar w:fldCharType="begin"/>
          </w:r>
          <w:r>
            <w:rPr>
              <w:sz w:val="24"/>
              <w:szCs w:val="22"/>
            </w:rPr>
            <w:instrText xml:space="preserve"> PAGEREF _Toc92457825 \h </w:instrText>
          </w:r>
          <w:r>
            <w:rPr>
              <w:sz w:val="24"/>
              <w:szCs w:val="22"/>
            </w:rPr>
            <w:fldChar w:fldCharType="separate"/>
          </w:r>
          <w:r>
            <w:rPr>
              <w:sz w:val="24"/>
              <w:szCs w:val="22"/>
            </w:rPr>
            <w:t>21</w:t>
          </w:r>
          <w:r>
            <w:rPr>
              <w:sz w:val="24"/>
              <w:szCs w:val="22"/>
            </w:rPr>
            <w:fldChar w:fldCharType="end"/>
          </w:r>
          <w:r>
            <w:rPr>
              <w:sz w:val="24"/>
              <w:szCs w:val="22"/>
            </w:rPr>
            <w:fldChar w:fldCharType="end"/>
          </w:r>
        </w:p>
        <w:p>
          <w:pPr>
            <w:pStyle w:val="8"/>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"_Toc92457826" </w:instrText>
          </w:r>
          <w:r>
            <w:fldChar w:fldCharType="separate"/>
          </w:r>
          <w:r>
            <w:rPr>
              <w:rStyle w:val="17"/>
              <w:rFonts w:ascii="仿宋" w:hAnsi="仿宋" w:eastAsia="仿宋"/>
              <w:color w:val="auto"/>
              <w:w w:val="110"/>
              <w:sz w:val="24"/>
              <w:szCs w:val="22"/>
            </w:rPr>
            <w:t>2.学位论文抽检情况及问题分析</w:t>
          </w:r>
          <w:r>
            <w:rPr>
              <w:sz w:val="24"/>
              <w:szCs w:val="22"/>
            </w:rPr>
            <w:tab/>
          </w:r>
          <w:r>
            <w:rPr>
              <w:sz w:val="24"/>
              <w:szCs w:val="22"/>
            </w:rPr>
            <w:fldChar w:fldCharType="begin"/>
          </w:r>
          <w:r>
            <w:rPr>
              <w:sz w:val="24"/>
              <w:szCs w:val="22"/>
            </w:rPr>
            <w:instrText xml:space="preserve"> PAGEREF _Toc92457826 \h </w:instrText>
          </w:r>
          <w:r>
            <w:rPr>
              <w:sz w:val="24"/>
              <w:szCs w:val="22"/>
            </w:rPr>
            <w:fldChar w:fldCharType="separate"/>
          </w:r>
          <w:r>
            <w:rPr>
              <w:sz w:val="24"/>
              <w:szCs w:val="22"/>
            </w:rPr>
            <w:t>21</w:t>
          </w:r>
          <w:r>
            <w:rPr>
              <w:sz w:val="24"/>
              <w:szCs w:val="22"/>
            </w:rPr>
            <w:fldChar w:fldCharType="end"/>
          </w:r>
          <w:r>
            <w:rPr>
              <w:sz w:val="24"/>
              <w:szCs w:val="22"/>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"_Toc92457827" </w:instrText>
          </w:r>
          <w:r>
            <w:fldChar w:fldCharType="separate"/>
          </w:r>
          <w:r>
            <w:rPr>
              <w:rStyle w:val="17"/>
              <w:rFonts w:ascii="黑体" w:hAnsi="黑体" w:eastAsia="黑体"/>
              <w:color w:val="auto"/>
              <w:sz w:val="24"/>
              <w:szCs w:val="22"/>
            </w:rPr>
            <w:t>六、改进措施</w:t>
          </w:r>
          <w:r>
            <w:rPr>
              <w:sz w:val="24"/>
              <w:szCs w:val="22"/>
            </w:rPr>
            <w:tab/>
          </w:r>
          <w:r>
            <w:rPr>
              <w:sz w:val="24"/>
              <w:szCs w:val="22"/>
            </w:rPr>
            <w:fldChar w:fldCharType="begin"/>
          </w:r>
          <w:r>
            <w:rPr>
              <w:sz w:val="24"/>
              <w:szCs w:val="22"/>
            </w:rPr>
            <w:instrText xml:space="preserve"> PAGEREF _Toc92457827 \h </w:instrText>
          </w:r>
          <w:r>
            <w:rPr>
              <w:sz w:val="24"/>
              <w:szCs w:val="22"/>
            </w:rPr>
            <w:fldChar w:fldCharType="separate"/>
          </w:r>
          <w:r>
            <w:rPr>
              <w:sz w:val="24"/>
              <w:szCs w:val="22"/>
            </w:rPr>
            <w:t>23</w:t>
          </w:r>
          <w:r>
            <w:rPr>
              <w:sz w:val="24"/>
              <w:szCs w:val="22"/>
            </w:rPr>
            <w:fldChar w:fldCharType="end"/>
          </w:r>
          <w:r>
            <w:rPr>
              <w:sz w:val="24"/>
              <w:szCs w:val="22"/>
            </w:rPr>
            <w:fldChar w:fldCharType="end"/>
          </w:r>
        </w:p>
        <w:p>
          <w:r>
            <w:rPr>
              <w:b/>
              <w:bCs/>
              <w:lang w:val="zh-CN"/>
            </w:rPr>
            <w:fldChar w:fldCharType="end"/>
          </w:r>
        </w:p>
      </w:sdtContent>
    </w:sdt>
    <w:p>
      <w:pPr>
        <w:pStyle w:val="13"/>
      </w:pPr>
    </w:p>
    <w:p>
      <w:pPr>
        <w:spacing w:before="624" w:beforeLines="200" w:after="312" w:afterLines="100"/>
        <w:jc w:val="both"/>
        <w:rPr>
          <w:rFonts w:ascii="黑体" w:hAnsi="黑体" w:eastAsia="黑体" w:cs="黑体"/>
          <w:bCs/>
          <w:sz w:val="44"/>
          <w:szCs w:val="44"/>
        </w:rPr>
      </w:pPr>
      <w:r>
        <w:rPr>
          <w:rFonts w:ascii="黑体" w:hAnsi="黑体" w:eastAsia="黑体" w:cs="黑体"/>
          <w:bCs/>
          <w:sz w:val="44"/>
          <w:szCs w:val="44"/>
        </w:rPr>
        <w:t xml:space="preserve"> </w:t>
      </w:r>
    </w:p>
    <w:p>
      <w:pPr>
        <w:pStyle w:val="3"/>
        <w:snapToGrid w:val="0"/>
        <w:spacing w:before="0" w:after="0" w:line="360" w:lineRule="auto"/>
        <w:rPr>
          <w:rFonts w:ascii="黑体" w:hAnsi="黑体" w:eastAsia="黑体"/>
          <w:b w:val="0"/>
          <w:bCs w:val="0"/>
        </w:rPr>
      </w:pPr>
      <w:bookmarkStart w:id="1" w:name="_Toc92457801"/>
      <w:r>
        <w:rPr>
          <w:rFonts w:hint="eastAsia" w:ascii="黑体" w:hAnsi="黑体" w:eastAsia="黑体"/>
          <w:b w:val="0"/>
          <w:bCs w:val="0"/>
        </w:rPr>
        <w:t>一、总体概况</w:t>
      </w:r>
      <w:bookmarkEnd w:id="1"/>
    </w:p>
    <w:p>
      <w:pPr>
        <w:pStyle w:val="4"/>
        <w:snapToGrid w:val="0"/>
        <w:spacing w:before="0" w:after="0" w:line="360" w:lineRule="auto"/>
        <w:ind w:firstLine="562" w:firstLineChars="200"/>
        <w:rPr>
          <w:rFonts w:ascii="仿宋" w:hAnsi="仿宋" w:eastAsia="仿宋"/>
          <w:sz w:val="28"/>
          <w:szCs w:val="28"/>
        </w:rPr>
      </w:pPr>
      <w:bookmarkStart w:id="2" w:name="_Toc92457802"/>
      <w:r>
        <w:rPr>
          <w:rFonts w:hint="eastAsia" w:ascii="仿宋" w:hAnsi="仿宋" w:eastAsia="仿宋"/>
          <w:sz w:val="28"/>
          <w:szCs w:val="28"/>
        </w:rPr>
        <w:t>1.学位授权点基本情况</w:t>
      </w:r>
      <w:bookmarkEnd w:id="2"/>
    </w:p>
    <w:p>
      <w:pPr>
        <w:pStyle w:val="6"/>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本学位点相关课程教学始于1958年，1986年建经济管理系，2004年招收首届硕士研究生，2006年被评为湖南省省级重点学科，同年，获批产业经济学二级学科硕士学位授权点，2010年获批应用经济学一级学科硕士学位授权点。2013年参与国家特殊需求人才博士项目“生态扶贫”博士人才培养。现依托“武陵山片区扶贫与发展”湖南省普通高校2011协同创新中心、“应用经济学”湖南省重点学科、院士工作站、“村镇银行发展与治理创新</w:t>
      </w:r>
      <w:r>
        <w:rPr>
          <w:rFonts w:ascii="仿宋" w:hAnsi="仿宋" w:eastAsia="仿宋"/>
          <w:spacing w:val="-7"/>
          <w:w w:val="110"/>
          <w:sz w:val="28"/>
          <w:szCs w:val="28"/>
        </w:rPr>
        <w:t>”</w:t>
      </w:r>
      <w:r>
        <w:rPr>
          <w:rFonts w:hint="eastAsia" w:ascii="仿宋" w:hAnsi="仿宋" w:eastAsia="仿宋"/>
          <w:spacing w:val="-7"/>
          <w:w w:val="110"/>
          <w:sz w:val="28"/>
          <w:szCs w:val="28"/>
        </w:rPr>
        <w:t>湖南省研究生培养创新基地等11个省级重点平台进行学科发展与学生培养，具有较深厚的学科建设基础与较丰富的研究生培养管理经验。</w:t>
      </w:r>
      <w:r>
        <w:rPr>
          <w:rFonts w:hint="eastAsia" w:ascii="仿宋" w:hAnsi="仿宋" w:eastAsia="仿宋"/>
          <w:spacing w:val="-7"/>
          <w:w w:val="110"/>
          <w:sz w:val="28"/>
          <w:szCs w:val="28"/>
          <w:lang w:val="en-US" w:eastAsia="zh-CN"/>
        </w:rPr>
        <w:t>目前已</w:t>
      </w:r>
      <w:r>
        <w:rPr>
          <w:rFonts w:hint="eastAsia" w:ascii="仿宋" w:hAnsi="仿宋" w:eastAsia="仿宋"/>
          <w:spacing w:val="-7"/>
          <w:w w:val="110"/>
          <w:sz w:val="28"/>
          <w:szCs w:val="28"/>
        </w:rPr>
        <w:t>形成了区域经济学、产业经济学、金融学、经济统计学4个主干学科方向，其中，产业经济学研究方向中关于民族地区旅游产业的研究在国内形成了较大影响；区域经济学研究方向中关于民族地区</w:t>
      </w:r>
      <w:r>
        <w:rPr>
          <w:rFonts w:hint="eastAsia" w:ascii="仿宋" w:hAnsi="仿宋" w:eastAsia="仿宋"/>
          <w:spacing w:val="-7"/>
          <w:w w:val="110"/>
          <w:sz w:val="28"/>
          <w:szCs w:val="28"/>
          <w:lang w:val="en-US" w:eastAsia="zh-CN"/>
        </w:rPr>
        <w:t>省际</w:t>
      </w:r>
      <w:r>
        <w:rPr>
          <w:rFonts w:hint="eastAsia" w:ascii="仿宋" w:hAnsi="仿宋" w:eastAsia="仿宋"/>
          <w:spacing w:val="-7"/>
          <w:w w:val="110"/>
          <w:sz w:val="28"/>
          <w:szCs w:val="28"/>
        </w:rPr>
        <w:t>交界地域经济协同发展</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连片特困区（欠发达地区）减贫与发展</w:t>
      </w:r>
      <w:r>
        <w:rPr>
          <w:rFonts w:hint="eastAsia" w:ascii="仿宋" w:hAnsi="仿宋" w:eastAsia="仿宋"/>
          <w:spacing w:val="-7"/>
          <w:w w:val="110"/>
          <w:sz w:val="28"/>
          <w:szCs w:val="28"/>
        </w:rPr>
        <w:t>研究</w:t>
      </w:r>
      <w:r>
        <w:rPr>
          <w:rFonts w:hint="eastAsia" w:ascii="仿宋" w:hAnsi="仿宋" w:eastAsia="仿宋"/>
          <w:spacing w:val="-7"/>
          <w:w w:val="110"/>
          <w:sz w:val="28"/>
          <w:szCs w:val="28"/>
          <w:lang w:val="en-US" w:eastAsia="zh-CN"/>
        </w:rPr>
        <w:t>有较高知名度</w:t>
      </w:r>
      <w:r>
        <w:rPr>
          <w:rFonts w:hint="eastAsia" w:ascii="仿宋" w:hAnsi="仿宋" w:eastAsia="仿宋"/>
          <w:spacing w:val="-7"/>
          <w:w w:val="110"/>
          <w:sz w:val="28"/>
          <w:szCs w:val="28"/>
        </w:rPr>
        <w:t>。</w:t>
      </w:r>
      <w:bookmarkStart w:id="3" w:name="_Toc92457803"/>
    </w:p>
    <w:p>
      <w:pPr>
        <w:pStyle w:val="6"/>
        <w:tabs>
          <w:tab w:val="left" w:pos="8280"/>
        </w:tabs>
        <w:snapToGrid w:val="0"/>
        <w:spacing w:after="0" w:line="360" w:lineRule="auto"/>
        <w:ind w:right="26" w:firstLine="588" w:firstLineChars="200"/>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本学位点立足于服务西部地区、民族地区经济社会发展，是武陵山片区学科实力最强、影响最大的应用经济学科，也是湖南省重点学科和一流建设学科，教育部国家特殊需求博士项目主建学科，学位点依托的经济学本科专业为国家一流本科专业建设点。学位点致力于培养具备经世济民情怀和务实作风，敢担当、愿吃苦、勤调研、能创新、善作为，且熟悉连片欠发达地区经济社会发展实际的经济管理人才，具有较深厚的学科建设基础和丰富的研究生培养管理经验。</w:t>
      </w:r>
    </w:p>
    <w:p>
      <w:pPr>
        <w:pStyle w:val="4"/>
        <w:snapToGrid w:val="0"/>
        <w:spacing w:before="0" w:after="0" w:line="360" w:lineRule="auto"/>
        <w:ind w:firstLine="562" w:firstLineChars="200"/>
        <w:rPr>
          <w:rFonts w:ascii="仿宋" w:hAnsi="仿宋" w:eastAsia="仿宋"/>
          <w:sz w:val="28"/>
          <w:szCs w:val="28"/>
        </w:rPr>
      </w:pPr>
      <w:r>
        <w:rPr>
          <w:rFonts w:hint="eastAsia" w:ascii="仿宋" w:hAnsi="仿宋" w:eastAsia="仿宋"/>
          <w:sz w:val="28"/>
          <w:szCs w:val="28"/>
        </w:rPr>
        <w:t>2.学位授权点建设情况</w:t>
      </w:r>
      <w:bookmarkEnd w:id="3"/>
    </w:p>
    <w:p>
      <w:pPr>
        <w:pStyle w:val="6"/>
        <w:tabs>
          <w:tab w:val="left" w:pos="8280"/>
        </w:tabs>
        <w:snapToGrid w:val="0"/>
        <w:spacing w:after="0" w:line="360" w:lineRule="auto"/>
        <w:ind w:right="26"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rPr>
        <w:t>本学位点全面落实立德树人根本任务，育人为本，德育为先，致力于培养掌握扎实的应用经济学基础理论、现代前沿研究方法和工具，具有国际视野、人文素养、经济思维、理论和实践创新能力，能够理论联系实际，开展规范实证研究，提出解决实际问题方案的高水平经济类人才。主要有四个研究方向</w:t>
      </w:r>
      <w:r>
        <w:rPr>
          <w:rFonts w:hint="eastAsia" w:ascii="仿宋" w:hAnsi="仿宋" w:eastAsia="仿宋"/>
          <w:spacing w:val="-7"/>
          <w:w w:val="110"/>
          <w:sz w:val="28"/>
          <w:szCs w:val="28"/>
          <w:lang w:eastAsia="zh-CN"/>
        </w:rPr>
        <w:t>：</w:t>
      </w:r>
    </w:p>
    <w:p>
      <w:pPr>
        <w:pStyle w:val="6"/>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1）区域经济学。本方向围绕区域经济领域的相关问题展开研究，主要涉及区域经济理论前沿、区域发展战略与政策、区际经济竞合与协同发展、区域经济空间结构演变等，并结合西部地区、民族地区实际研究区域可持续发展、绿色发展、数字化发展以及特殊类型区域发展等专题问题。</w:t>
      </w:r>
    </w:p>
    <w:p>
      <w:pPr>
        <w:pStyle w:val="6"/>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产业经济学。本方向围绕产业经济领域的相关问题展开研究，主要涉及产业经济理论前沿、产业发展战略与政策，以及产业集群、产业融合、产业结构、新兴产业、数字产业等专题问题，并重点关注西部地区、民族地区的文旅产业、农林产业等特色产业发展以及数字化转型问题。</w:t>
      </w:r>
    </w:p>
    <w:p>
      <w:pPr>
        <w:pStyle w:val="6"/>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w:t>
      </w:r>
      <w:r>
        <w:rPr>
          <w:rFonts w:ascii="仿宋" w:hAnsi="仿宋" w:eastAsia="仿宋"/>
          <w:spacing w:val="-7"/>
          <w:w w:val="110"/>
          <w:sz w:val="28"/>
          <w:szCs w:val="28"/>
        </w:rPr>
        <w:t>金融学</w:t>
      </w:r>
      <w:r>
        <w:rPr>
          <w:rFonts w:hint="eastAsia" w:ascii="仿宋" w:hAnsi="仿宋" w:eastAsia="仿宋"/>
          <w:spacing w:val="-7"/>
          <w:w w:val="110"/>
          <w:sz w:val="28"/>
          <w:szCs w:val="28"/>
        </w:rPr>
        <w:t>。本方向围绕金融发展领域中的相关问题展开研究，主要涉及金融学理论前沿以及区域金融发展、金融风险管理、保险行业发展、投融资管理与资本市场运行等，结合西部地区、民族地区金融发展实际研究普惠金融、农村金融、供应链金融、农业保险和数字金融等专题问题。</w:t>
      </w:r>
    </w:p>
    <w:p>
      <w:pPr>
        <w:pStyle w:val="6"/>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国民经济学。本方向围绕国民经济领域中的相关问题展开研究，主要涉及国民经济理论前沿、宏观经济政策、国际经济形势、经济可持续发展、数字经济发展等问题，并结合西部地区、民族地区国民经济发展需要开展社会保障、“三农”问题、乡村振兴和数字乡村等专题研究。</w:t>
      </w:r>
    </w:p>
    <w:p>
      <w:pPr>
        <w:pStyle w:val="4"/>
        <w:snapToGrid w:val="0"/>
        <w:spacing w:before="0" w:after="0" w:line="360" w:lineRule="auto"/>
        <w:ind w:firstLine="588" w:firstLineChars="200"/>
        <w:rPr>
          <w:rFonts w:hint="eastAsia" w:ascii="仿宋" w:hAnsi="仿宋" w:eastAsia="仿宋" w:cs="Times New Roman"/>
          <w:b w:val="0"/>
          <w:bCs w:val="0"/>
          <w:spacing w:val="-7"/>
          <w:w w:val="110"/>
          <w:kern w:val="2"/>
          <w:sz w:val="28"/>
          <w:szCs w:val="28"/>
          <w:lang w:val="en-US" w:eastAsia="zh-CN" w:bidi="ar-SA"/>
        </w:rPr>
      </w:pPr>
      <w:bookmarkStart w:id="4" w:name="_Toc92457804"/>
      <w:r>
        <w:rPr>
          <w:rFonts w:hint="eastAsia" w:ascii="仿宋" w:hAnsi="仿宋" w:eastAsia="仿宋" w:cs="Times New Roman"/>
          <w:b w:val="0"/>
          <w:bCs w:val="0"/>
          <w:spacing w:val="-7"/>
          <w:w w:val="110"/>
          <w:kern w:val="2"/>
          <w:sz w:val="28"/>
          <w:szCs w:val="28"/>
          <w:lang w:val="en-US" w:eastAsia="zh-CN" w:bidi="ar-SA"/>
        </w:rPr>
        <w:t>本年度，学位点积极到省内外高校考察和交流合作，提升人才培养质量。参加了北京大学经济学院、中央财经大学经济学院、湖南大学经贸学院、湖南大学金融与统计学院、湖南师范大学商学院、南华大学经济管理与法学学院、湖南农业大学商学院、湖南科技大学商学院、湖南工业大学商学院等举办的人才培养与学科建设研讨活动，通过研讨活动进行了学位点建设交流学习。</w:t>
      </w:r>
    </w:p>
    <w:p>
      <w:pPr>
        <w:pStyle w:val="4"/>
        <w:snapToGrid w:val="0"/>
        <w:spacing w:before="0" w:after="0" w:line="360" w:lineRule="auto"/>
        <w:ind w:firstLine="562" w:firstLineChars="200"/>
        <w:rPr>
          <w:rFonts w:ascii="仿宋" w:hAnsi="仿宋" w:eastAsia="仿宋"/>
          <w:sz w:val="28"/>
          <w:szCs w:val="28"/>
        </w:rPr>
      </w:pPr>
      <w:r>
        <w:rPr>
          <w:rFonts w:hint="eastAsia" w:ascii="仿宋" w:hAnsi="仿宋" w:eastAsia="仿宋"/>
          <w:sz w:val="28"/>
          <w:szCs w:val="28"/>
        </w:rPr>
        <w:t>3.研究生招生就业情况</w:t>
      </w:r>
      <w:bookmarkEnd w:id="4"/>
    </w:p>
    <w:p>
      <w:pPr>
        <w:pStyle w:val="6"/>
        <w:tabs>
          <w:tab w:val="left" w:pos="8280"/>
        </w:tabs>
        <w:snapToGrid w:val="0"/>
        <w:spacing w:after="0" w:line="360" w:lineRule="auto"/>
        <w:ind w:right="26" w:firstLine="588" w:firstLineChars="200"/>
        <w:rPr>
          <w:b/>
          <w:bCs/>
          <w:sz w:val="28"/>
          <w:szCs w:val="24"/>
          <w:highlight w:val="yellow"/>
        </w:rPr>
      </w:pPr>
      <w:r>
        <w:rPr>
          <w:rFonts w:hint="eastAsia" w:ascii="仿宋" w:hAnsi="仿宋" w:eastAsia="仿宋"/>
          <w:spacing w:val="-7"/>
          <w:w w:val="110"/>
          <w:sz w:val="28"/>
          <w:szCs w:val="28"/>
          <w:lang w:val="en-US" w:eastAsia="zh-CN"/>
        </w:rPr>
        <w:t>本学位点</w:t>
      </w:r>
      <w:r>
        <w:rPr>
          <w:rFonts w:hint="eastAsia" w:ascii="仿宋" w:hAnsi="仿宋" w:eastAsia="仿宋"/>
          <w:spacing w:val="-7"/>
          <w:w w:val="110"/>
          <w:sz w:val="28"/>
          <w:szCs w:val="28"/>
        </w:rPr>
        <w:t>积极进行招生宣传活动，发布了多</w:t>
      </w:r>
      <w:r>
        <w:rPr>
          <w:rFonts w:hint="eastAsia" w:ascii="仿宋" w:hAnsi="仿宋" w:eastAsia="仿宋"/>
          <w:spacing w:val="-7"/>
          <w:w w:val="110"/>
          <w:sz w:val="28"/>
          <w:szCs w:val="28"/>
          <w:lang w:val="en-US" w:eastAsia="zh-CN"/>
        </w:rPr>
        <w:t>篇</w:t>
      </w:r>
      <w:r>
        <w:rPr>
          <w:rFonts w:hint="eastAsia" w:ascii="仿宋" w:hAnsi="仿宋" w:eastAsia="仿宋"/>
          <w:spacing w:val="-7"/>
          <w:w w:val="110"/>
          <w:sz w:val="28"/>
          <w:szCs w:val="28"/>
        </w:rPr>
        <w:t>研究生招生和调剂的微信推文，本年度共招生</w:t>
      </w:r>
      <w:r>
        <w:rPr>
          <w:rFonts w:hint="eastAsia" w:ascii="仿宋" w:hAnsi="仿宋" w:eastAsia="仿宋"/>
          <w:spacing w:val="-7"/>
          <w:w w:val="110"/>
          <w:sz w:val="28"/>
          <w:szCs w:val="28"/>
          <w:lang w:val="en-US" w:eastAsia="zh-CN"/>
        </w:rPr>
        <w:t>18</w:t>
      </w:r>
      <w:r>
        <w:rPr>
          <w:rFonts w:hint="eastAsia" w:ascii="仿宋" w:hAnsi="仿宋" w:eastAsia="仿宋"/>
          <w:spacing w:val="-7"/>
          <w:w w:val="110"/>
          <w:sz w:val="28"/>
          <w:szCs w:val="28"/>
        </w:rPr>
        <w:t>名研究生，毕业</w:t>
      </w:r>
      <w:r>
        <w:rPr>
          <w:rFonts w:hint="eastAsia" w:ascii="仿宋" w:hAnsi="仿宋" w:eastAsia="仿宋"/>
          <w:spacing w:val="-7"/>
          <w:w w:val="110"/>
          <w:sz w:val="28"/>
          <w:szCs w:val="28"/>
          <w:lang w:val="en-US" w:eastAsia="zh-CN"/>
        </w:rPr>
        <w:t>19</w:t>
      </w:r>
      <w:r>
        <w:rPr>
          <w:rFonts w:hint="eastAsia" w:ascii="仿宋" w:hAnsi="仿宋" w:eastAsia="仿宋"/>
          <w:spacing w:val="-7"/>
          <w:w w:val="110"/>
          <w:sz w:val="28"/>
          <w:szCs w:val="28"/>
        </w:rPr>
        <w:t>名，授予学位</w:t>
      </w:r>
      <w:r>
        <w:rPr>
          <w:rFonts w:hint="eastAsia" w:ascii="仿宋" w:hAnsi="仿宋" w:eastAsia="仿宋"/>
          <w:spacing w:val="-7"/>
          <w:w w:val="110"/>
          <w:sz w:val="28"/>
          <w:szCs w:val="28"/>
          <w:lang w:val="en-US" w:eastAsia="zh-CN"/>
        </w:rPr>
        <w:t>19</w:t>
      </w:r>
      <w:r>
        <w:rPr>
          <w:rFonts w:hint="eastAsia" w:ascii="仿宋" w:hAnsi="仿宋" w:eastAsia="仿宋"/>
          <w:spacing w:val="-7"/>
          <w:w w:val="110"/>
          <w:sz w:val="28"/>
          <w:szCs w:val="28"/>
        </w:rPr>
        <w:t>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现有在校研究生数量为</w:t>
      </w:r>
      <w:r>
        <w:rPr>
          <w:rFonts w:hint="eastAsia" w:ascii="仿宋" w:hAnsi="仿宋" w:eastAsia="仿宋"/>
          <w:spacing w:val="-7"/>
          <w:w w:val="110"/>
          <w:sz w:val="28"/>
          <w:szCs w:val="28"/>
          <w:lang w:val="en-US" w:eastAsia="zh-CN"/>
        </w:rPr>
        <w:t>51</w:t>
      </w:r>
      <w:r>
        <w:rPr>
          <w:rFonts w:hint="eastAsia" w:ascii="仿宋" w:hAnsi="仿宋" w:eastAsia="仿宋"/>
          <w:spacing w:val="-7"/>
          <w:w w:val="110"/>
          <w:sz w:val="28"/>
          <w:szCs w:val="28"/>
        </w:rPr>
        <w:t>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2021级16名，2022级17名，2023级18名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其中男生18名，女生33名；少数民族中，满族1人，苗族1人，土家族2人；中共党员17名，预备党员1名。</w:t>
      </w:r>
    </w:p>
    <w:p>
      <w:pPr>
        <w:pStyle w:val="6"/>
        <w:tabs>
          <w:tab w:val="left" w:pos="8280"/>
        </w:tabs>
        <w:snapToGrid w:val="0"/>
        <w:spacing w:after="0" w:line="360" w:lineRule="auto"/>
        <w:ind w:right="26" w:firstLine="588" w:firstLineChars="200"/>
        <w:rPr>
          <w:rFonts w:hint="eastAsia"/>
          <w:b/>
          <w:bCs/>
          <w:sz w:val="28"/>
          <w:szCs w:val="24"/>
          <w:highlight w:val="yellow"/>
        </w:rPr>
      </w:pPr>
      <w:r>
        <w:rPr>
          <w:rFonts w:hint="eastAsia" w:ascii="仿宋" w:hAnsi="仿宋" w:eastAsia="仿宋"/>
          <w:color w:val="auto"/>
          <w:spacing w:val="-7"/>
          <w:w w:val="110"/>
          <w:sz w:val="28"/>
          <w:szCs w:val="28"/>
        </w:rPr>
        <w:t>本年度毕业1</w:t>
      </w:r>
      <w:r>
        <w:rPr>
          <w:rFonts w:hint="eastAsia" w:ascii="仿宋" w:hAnsi="仿宋" w:eastAsia="仿宋"/>
          <w:color w:val="auto"/>
          <w:spacing w:val="-7"/>
          <w:w w:val="110"/>
          <w:sz w:val="28"/>
          <w:szCs w:val="28"/>
          <w:lang w:val="en-US" w:eastAsia="zh-CN"/>
        </w:rPr>
        <w:t>9</w:t>
      </w:r>
      <w:r>
        <w:rPr>
          <w:rFonts w:hint="eastAsia" w:ascii="仿宋" w:hAnsi="仿宋" w:eastAsia="仿宋"/>
          <w:color w:val="auto"/>
          <w:spacing w:val="-7"/>
          <w:w w:val="110"/>
          <w:sz w:val="28"/>
          <w:szCs w:val="28"/>
        </w:rPr>
        <w:t>名研究生实现就业率</w:t>
      </w:r>
      <w:r>
        <w:rPr>
          <w:rFonts w:hint="eastAsia" w:ascii="仿宋" w:hAnsi="仿宋" w:eastAsia="仿宋"/>
          <w:color w:val="auto"/>
          <w:spacing w:val="-7"/>
          <w:w w:val="110"/>
          <w:sz w:val="28"/>
          <w:szCs w:val="28"/>
          <w:lang w:val="en-US" w:eastAsia="zh-CN"/>
        </w:rPr>
        <w:t>100</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rPr>
        <w:t>名研究生考上</w:t>
      </w:r>
      <w:r>
        <w:rPr>
          <w:rFonts w:hint="eastAsia" w:ascii="仿宋" w:hAnsi="仿宋" w:eastAsia="仿宋"/>
          <w:color w:val="auto"/>
          <w:spacing w:val="-7"/>
          <w:w w:val="110"/>
          <w:sz w:val="28"/>
          <w:szCs w:val="28"/>
          <w:lang w:val="en-US" w:eastAsia="zh-CN"/>
        </w:rPr>
        <w:t>青岛大学</w:t>
      </w:r>
      <w:r>
        <w:rPr>
          <w:rFonts w:hint="eastAsia" w:ascii="仿宋" w:hAnsi="仿宋" w:eastAsia="仿宋"/>
          <w:color w:val="auto"/>
          <w:spacing w:val="-7"/>
          <w:w w:val="110"/>
          <w:sz w:val="28"/>
          <w:szCs w:val="28"/>
        </w:rPr>
        <w:t>攻读博士学位，</w:t>
      </w:r>
      <w:r>
        <w:rPr>
          <w:rFonts w:hint="eastAsia" w:ascii="仿宋" w:hAnsi="仿宋" w:eastAsia="仿宋"/>
          <w:color w:val="auto"/>
          <w:spacing w:val="-7"/>
          <w:w w:val="110"/>
          <w:sz w:val="28"/>
          <w:szCs w:val="28"/>
          <w:lang w:val="en-US" w:eastAsia="zh-CN"/>
        </w:rPr>
        <w:t>3名研究生通过公务员高层次人才选拔进入政府机关工作，1名研究生通过事业单位选拔进入湖南工程学院工作，7</w:t>
      </w:r>
      <w:r>
        <w:rPr>
          <w:rFonts w:hint="eastAsia" w:ascii="仿宋" w:hAnsi="仿宋" w:eastAsia="仿宋"/>
          <w:color w:val="auto"/>
          <w:spacing w:val="-7"/>
          <w:w w:val="110"/>
          <w:sz w:val="28"/>
          <w:szCs w:val="28"/>
        </w:rPr>
        <w:t>名研究生分别考入</w:t>
      </w:r>
      <w:r>
        <w:rPr>
          <w:rFonts w:hint="eastAsia" w:ascii="仿宋" w:hAnsi="仿宋" w:eastAsia="仿宋"/>
          <w:color w:val="auto"/>
          <w:spacing w:val="-7"/>
          <w:w w:val="110"/>
          <w:sz w:val="28"/>
          <w:szCs w:val="28"/>
          <w:lang w:val="en-US" w:eastAsia="zh-CN"/>
        </w:rPr>
        <w:t>农业银行、交通银行、邮政储蓄银行、工商银行、建设银行、民生银行从事金融类业务，7名研究生选择在深圳、北京、长沙、武汉的企业从事专业相关工作。</w:t>
      </w:r>
      <w:r>
        <w:rPr>
          <w:rFonts w:hint="eastAsia" w:ascii="仿宋" w:hAnsi="仿宋" w:eastAsia="仿宋"/>
          <w:color w:val="auto"/>
          <w:spacing w:val="-7"/>
          <w:w w:val="110"/>
          <w:sz w:val="28"/>
          <w:szCs w:val="28"/>
        </w:rPr>
        <w:t>（表</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rPr>
        <w:t>）。</w:t>
      </w:r>
    </w:p>
    <w:p>
      <w:pPr>
        <w:snapToGrid w:val="0"/>
        <w:spacing w:line="360" w:lineRule="auto"/>
        <w:ind w:firstLine="500" w:firstLineChars="200"/>
        <w:jc w:val="center"/>
        <w:rPr>
          <w:rFonts w:ascii="仿宋" w:hAnsi="仿宋" w:eastAsia="仿宋"/>
          <w:spacing w:val="-7"/>
          <w:w w:val="110"/>
          <w:sz w:val="28"/>
          <w:szCs w:val="28"/>
        </w:rPr>
      </w:pPr>
      <w:r>
        <w:rPr>
          <w:rFonts w:hint="eastAsia" w:ascii="仿宋" w:hAnsi="仿宋" w:eastAsia="仿宋"/>
          <w:spacing w:val="-7"/>
          <w:w w:val="110"/>
          <w:sz w:val="24"/>
          <w:szCs w:val="24"/>
          <w:lang w:val="en-US" w:eastAsia="zh-CN"/>
        </w:rPr>
        <w:t xml:space="preserve">表1  </w:t>
      </w:r>
      <w:r>
        <w:rPr>
          <w:rFonts w:ascii="仿宋" w:hAnsi="仿宋" w:eastAsia="仿宋"/>
          <w:spacing w:val="-7"/>
          <w:w w:val="110"/>
          <w:sz w:val="24"/>
          <w:szCs w:val="24"/>
        </w:rPr>
        <w:t>2</w:t>
      </w:r>
      <w:r>
        <w:rPr>
          <w:rFonts w:hint="eastAsia" w:ascii="仿宋" w:hAnsi="仿宋" w:eastAsia="仿宋"/>
          <w:spacing w:val="-7"/>
          <w:w w:val="110"/>
          <w:sz w:val="24"/>
          <w:szCs w:val="24"/>
          <w:lang w:val="en-US" w:eastAsia="zh-CN"/>
        </w:rPr>
        <w:t>3</w:t>
      </w:r>
      <w:r>
        <w:rPr>
          <w:rFonts w:hint="eastAsia" w:ascii="仿宋" w:hAnsi="仿宋" w:eastAsia="仿宋"/>
          <w:spacing w:val="-7"/>
          <w:w w:val="110"/>
          <w:sz w:val="24"/>
          <w:szCs w:val="24"/>
        </w:rPr>
        <w:t>届应用经济学毕业生就业情况表</w:t>
      </w:r>
    </w:p>
    <w:tbl>
      <w:tblPr>
        <w:tblStyle w:val="14"/>
        <w:tblW w:w="8430" w:type="dxa"/>
        <w:tblInd w:w="93" w:type="dxa"/>
        <w:tblLayout w:type="autofit"/>
        <w:tblCellMar>
          <w:top w:w="0" w:type="dxa"/>
          <w:left w:w="108" w:type="dxa"/>
          <w:bottom w:w="0" w:type="dxa"/>
          <w:right w:w="108" w:type="dxa"/>
        </w:tblCellMar>
      </w:tblPr>
      <w:tblGrid>
        <w:gridCol w:w="956"/>
        <w:gridCol w:w="3863"/>
        <w:gridCol w:w="2355"/>
        <w:gridCol w:w="1256"/>
      </w:tblGrid>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Times New Roman"/>
                <w:b/>
                <w:bCs/>
                <w:color w:val="auto"/>
                <w:spacing w:val="-7"/>
                <w:w w:val="110"/>
                <w:kern w:val="2"/>
                <w:sz w:val="22"/>
                <w:szCs w:val="22"/>
                <w:lang w:val="en-US" w:eastAsia="zh-CN" w:bidi="ar-SA"/>
              </w:rPr>
            </w:pPr>
            <w:r>
              <w:rPr>
                <w:rFonts w:hint="eastAsia" w:ascii="仿宋" w:hAnsi="仿宋" w:eastAsia="仿宋" w:cs="Times New Roman"/>
                <w:b/>
                <w:bCs/>
                <w:color w:val="auto"/>
                <w:spacing w:val="-7"/>
                <w:w w:val="110"/>
                <w:kern w:val="2"/>
                <w:sz w:val="22"/>
                <w:szCs w:val="22"/>
                <w:lang w:val="en-US" w:eastAsia="zh-CN" w:bidi="ar-SA"/>
              </w:rPr>
              <w:t>姓名</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Times New Roman"/>
                <w:b/>
                <w:bCs/>
                <w:color w:val="auto"/>
                <w:spacing w:val="-7"/>
                <w:w w:val="110"/>
                <w:kern w:val="2"/>
                <w:sz w:val="22"/>
                <w:szCs w:val="22"/>
                <w:lang w:val="en-US" w:eastAsia="zh-CN" w:bidi="ar-SA"/>
              </w:rPr>
            </w:pPr>
            <w:r>
              <w:rPr>
                <w:rFonts w:hint="eastAsia" w:ascii="仿宋" w:hAnsi="仿宋" w:eastAsia="仿宋" w:cs="Times New Roman"/>
                <w:b/>
                <w:bCs/>
                <w:color w:val="auto"/>
                <w:spacing w:val="-7"/>
                <w:w w:val="110"/>
                <w:kern w:val="2"/>
                <w:sz w:val="22"/>
                <w:szCs w:val="22"/>
                <w:lang w:val="en-US" w:eastAsia="zh-CN" w:bidi="ar-SA"/>
              </w:rPr>
              <w:t>单位名称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Times New Roman"/>
                <w:b/>
                <w:bCs/>
                <w:color w:val="auto"/>
                <w:spacing w:val="-7"/>
                <w:w w:val="110"/>
                <w:kern w:val="2"/>
                <w:sz w:val="22"/>
                <w:szCs w:val="22"/>
                <w:lang w:val="en-US" w:eastAsia="zh-CN" w:bidi="ar-SA"/>
              </w:rPr>
            </w:pPr>
            <w:r>
              <w:rPr>
                <w:rFonts w:hint="eastAsia" w:ascii="仿宋" w:hAnsi="仿宋" w:eastAsia="仿宋" w:cs="Times New Roman"/>
                <w:b/>
                <w:bCs/>
                <w:color w:val="auto"/>
                <w:spacing w:val="-7"/>
                <w:w w:val="110"/>
                <w:kern w:val="2"/>
                <w:sz w:val="22"/>
                <w:szCs w:val="22"/>
                <w:lang w:val="en-US" w:eastAsia="zh-CN" w:bidi="ar-SA"/>
              </w:rPr>
              <w:t>单位所在地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Times New Roman"/>
                <w:b/>
                <w:bCs/>
                <w:color w:val="auto"/>
                <w:spacing w:val="-7"/>
                <w:w w:val="110"/>
                <w:kern w:val="2"/>
                <w:sz w:val="22"/>
                <w:szCs w:val="22"/>
                <w:lang w:val="en-US" w:eastAsia="zh-CN" w:bidi="ar-SA"/>
              </w:rPr>
            </w:pPr>
            <w:r>
              <w:rPr>
                <w:rFonts w:hint="eastAsia" w:ascii="仿宋" w:hAnsi="仿宋" w:eastAsia="仿宋" w:cs="Times New Roman"/>
                <w:b/>
                <w:bCs/>
                <w:color w:val="auto"/>
                <w:spacing w:val="-7"/>
                <w:w w:val="110"/>
                <w:kern w:val="2"/>
                <w:sz w:val="22"/>
                <w:szCs w:val="22"/>
                <w:lang w:val="en-US" w:eastAsia="zh-CN" w:bidi="ar-SA"/>
              </w:rPr>
              <w:t>单位性质</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郑乐伟</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天音通信有限公司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广东省深圳市福田区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汤露</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深圳市越必智能科技有限公司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广东省深圳市龙华区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文静</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中国农业银行股份有限公司湖南省分行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湖南省长沙市芙蓉区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国有企业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李慧</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国家税务总局湘潭县税务局</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湖南省湘潭县</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机关</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王田田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青岛大学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山东省青岛市</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升学</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王郁涵</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长沙虎家食品科技有限公司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湖南省长沙市岳麓区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姚爽</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中国邮政储蓄银行股份有限公司邵阳市分行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湖南省邵阳市大祥区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国有企业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刘贤</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中国工商银行股份有限公司昆明分行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云南省昆明市</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国有企业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尹瑾雯</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湖南工程学院</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湖南省湘潭市</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高等学校</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黄珍杰</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中国建设银行股份有限公司上海市分行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上海市浦东新区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国有企业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周天云子</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长江存储科技有限责任公司</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湖北省武汉市</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殷悦</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交通银行股份有限公司湖北省分行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湖北省武汉市江汉区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王淀坤</w:t>
            </w:r>
          </w:p>
        </w:tc>
        <w:tc>
          <w:tcPr>
            <w:tcW w:w="38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东莞市东阳光实业发展有限公司</w:t>
            </w:r>
          </w:p>
        </w:tc>
        <w:tc>
          <w:tcPr>
            <w:tcW w:w="23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广东省东莞市</w:t>
            </w:r>
          </w:p>
        </w:tc>
        <w:tc>
          <w:tcPr>
            <w:tcW w:w="12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王乐</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中国民生银行股份有限公司杭州分行</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浙江省杭州市</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刘艺璇</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立信会计师事务所(特殊普通合伙)北京分所</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北京市海淀区</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马文祥</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中国工商银行股份有限公司滨州分行</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山东省滨州市</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国有企业</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杜荣</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深圳麦格米特电气股份有限公司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广东省深圳市南山区</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其他企业</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瞿一红</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江苏省淮安市金湖县银涂镇人民政府</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江苏省淮安市</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机关</w:t>
            </w:r>
          </w:p>
        </w:tc>
      </w:tr>
      <w:tr>
        <w:tblPrEx>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白杏</w:t>
            </w:r>
          </w:p>
        </w:tc>
        <w:tc>
          <w:tcPr>
            <w:tcW w:w="38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国家税务总局娄底市税务局</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湖南省冷水江市</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仿宋" w:hAnsi="仿宋" w:eastAsia="仿宋" w:cs="Times New Roman"/>
                <w:color w:val="auto"/>
                <w:spacing w:val="-7"/>
                <w:w w:val="110"/>
                <w:kern w:val="2"/>
                <w:sz w:val="22"/>
                <w:szCs w:val="22"/>
                <w:lang w:val="en-US" w:eastAsia="zh-CN" w:bidi="ar-SA"/>
              </w:rPr>
            </w:pPr>
            <w:r>
              <w:rPr>
                <w:rFonts w:hint="eastAsia" w:ascii="仿宋" w:hAnsi="仿宋" w:eastAsia="仿宋" w:cs="Times New Roman"/>
                <w:color w:val="auto"/>
                <w:spacing w:val="-7"/>
                <w:w w:val="110"/>
                <w:kern w:val="2"/>
                <w:sz w:val="22"/>
                <w:szCs w:val="22"/>
                <w:lang w:val="en-US" w:eastAsia="zh-CN" w:bidi="ar-SA"/>
              </w:rPr>
              <w:t>机关</w:t>
            </w:r>
          </w:p>
        </w:tc>
      </w:tr>
    </w:tbl>
    <w:p>
      <w:pPr>
        <w:pStyle w:val="6"/>
        <w:tabs>
          <w:tab w:val="left" w:pos="8280"/>
        </w:tabs>
        <w:snapToGrid w:val="0"/>
        <w:spacing w:after="0" w:line="360" w:lineRule="auto"/>
        <w:ind w:right="26" w:firstLine="588" w:firstLineChars="200"/>
        <w:rPr>
          <w:rFonts w:ascii="仿宋" w:hAnsi="仿宋" w:eastAsia="仿宋"/>
          <w:spacing w:val="-7"/>
          <w:w w:val="110"/>
          <w:sz w:val="28"/>
          <w:szCs w:val="28"/>
        </w:rPr>
      </w:pPr>
    </w:p>
    <w:p>
      <w:pPr>
        <w:pStyle w:val="4"/>
        <w:snapToGrid w:val="0"/>
        <w:spacing w:before="0" w:after="0" w:line="360" w:lineRule="auto"/>
        <w:ind w:firstLine="562" w:firstLineChars="200"/>
        <w:rPr>
          <w:rFonts w:ascii="仿宋" w:hAnsi="仿宋" w:eastAsia="仿宋"/>
          <w:sz w:val="28"/>
          <w:szCs w:val="28"/>
        </w:rPr>
      </w:pPr>
      <w:bookmarkStart w:id="5" w:name="_Toc92457805"/>
      <w:r>
        <w:rPr>
          <w:rFonts w:ascii="仿宋" w:hAnsi="仿宋" w:eastAsia="仿宋"/>
          <w:sz w:val="28"/>
          <w:szCs w:val="28"/>
        </w:rPr>
        <w:t>4</w:t>
      </w:r>
      <w:r>
        <w:rPr>
          <w:rFonts w:hint="eastAsia" w:ascii="仿宋" w:hAnsi="仿宋" w:eastAsia="仿宋"/>
          <w:sz w:val="28"/>
          <w:szCs w:val="28"/>
        </w:rPr>
        <w:t>.研究生导师状况</w:t>
      </w:r>
      <w:bookmarkEnd w:id="5"/>
    </w:p>
    <w:p>
      <w:pPr>
        <w:snapToGrid w:val="0"/>
        <w:spacing w:line="360" w:lineRule="auto"/>
        <w:ind w:firstLine="588" w:firstLineChars="200"/>
        <w:rPr>
          <w:rFonts w:ascii="仿宋" w:hAnsi="仿宋" w:eastAsia="仿宋"/>
        </w:rPr>
      </w:pPr>
      <w:r>
        <w:rPr>
          <w:rFonts w:hint="eastAsia" w:ascii="仿宋" w:hAnsi="仿宋" w:eastAsia="仿宋"/>
          <w:color w:val="auto"/>
          <w:spacing w:val="-7"/>
          <w:w w:val="110"/>
          <w:sz w:val="28"/>
          <w:szCs w:val="28"/>
        </w:rPr>
        <w:t>学位点现有导师</w:t>
      </w:r>
      <w:r>
        <w:rPr>
          <w:rFonts w:hint="eastAsia" w:ascii="仿宋" w:hAnsi="仿宋" w:eastAsia="仿宋"/>
          <w:color w:val="auto"/>
          <w:spacing w:val="-7"/>
          <w:w w:val="110"/>
          <w:sz w:val="28"/>
          <w:szCs w:val="28"/>
          <w:lang w:val="en-US" w:eastAsia="zh-CN"/>
        </w:rPr>
        <w:t>19</w:t>
      </w:r>
      <w:r>
        <w:rPr>
          <w:rFonts w:hint="eastAsia" w:ascii="仿宋" w:hAnsi="仿宋" w:eastAsia="仿宋"/>
          <w:color w:val="auto"/>
          <w:spacing w:val="-7"/>
          <w:w w:val="110"/>
          <w:sz w:val="28"/>
          <w:szCs w:val="28"/>
        </w:rPr>
        <w:t>名，</w:t>
      </w:r>
      <w:r>
        <w:rPr>
          <w:rFonts w:hint="eastAsia" w:ascii="仿宋" w:hAnsi="仿宋" w:eastAsia="仿宋"/>
          <w:color w:val="auto"/>
          <w:spacing w:val="-7"/>
          <w:w w:val="110"/>
          <w:sz w:val="28"/>
          <w:szCs w:val="28"/>
          <w:lang w:val="en-US" w:eastAsia="zh-CN"/>
        </w:rPr>
        <w:t>其中</w:t>
      </w:r>
      <w:r>
        <w:rPr>
          <w:rFonts w:hint="eastAsia" w:ascii="仿宋" w:hAnsi="仿宋" w:eastAsia="仿宋"/>
          <w:color w:val="auto"/>
          <w:spacing w:val="-7"/>
          <w:w w:val="110"/>
          <w:sz w:val="28"/>
          <w:szCs w:val="28"/>
        </w:rPr>
        <w:t>博士生导师4人，生师比为</w:t>
      </w:r>
      <w:r>
        <w:rPr>
          <w:rFonts w:hint="eastAsia" w:ascii="仿宋" w:hAnsi="仿宋" w:eastAsia="仿宋"/>
          <w:color w:val="auto"/>
          <w:spacing w:val="-7"/>
          <w:w w:val="110"/>
          <w:sz w:val="28"/>
          <w:szCs w:val="28"/>
          <w:lang w:val="en-US" w:eastAsia="zh-CN"/>
        </w:rPr>
        <w:t>2.68</w:t>
      </w:r>
      <w:r>
        <w:rPr>
          <w:rFonts w:hint="eastAsia" w:ascii="仿宋" w:hAnsi="仿宋" w:eastAsia="仿宋"/>
          <w:color w:val="auto"/>
          <w:spacing w:val="-7"/>
          <w:w w:val="110"/>
          <w:sz w:val="28"/>
          <w:szCs w:val="28"/>
        </w:rPr>
        <w:t>：1，其中具有正高级职称导师11名，占比</w:t>
      </w:r>
      <w:r>
        <w:rPr>
          <w:rFonts w:hint="eastAsia" w:ascii="仿宋" w:hAnsi="仿宋" w:eastAsia="仿宋"/>
          <w:color w:val="auto"/>
          <w:spacing w:val="-7"/>
          <w:w w:val="110"/>
          <w:sz w:val="28"/>
          <w:szCs w:val="28"/>
          <w:lang w:val="en-US" w:eastAsia="zh-CN"/>
        </w:rPr>
        <w:t>57.9</w:t>
      </w:r>
      <w:r>
        <w:rPr>
          <w:rFonts w:hint="eastAsia" w:ascii="仿宋" w:hAnsi="仿宋" w:eastAsia="仿宋"/>
          <w:color w:val="auto"/>
          <w:spacing w:val="-7"/>
          <w:w w:val="110"/>
          <w:sz w:val="28"/>
          <w:szCs w:val="28"/>
        </w:rPr>
        <w:t>%，具有博士学历导师1</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名</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占比</w:t>
      </w:r>
      <w:r>
        <w:rPr>
          <w:rFonts w:hint="eastAsia" w:ascii="仿宋" w:hAnsi="仿宋" w:eastAsia="仿宋"/>
          <w:color w:val="auto"/>
          <w:spacing w:val="-7"/>
          <w:w w:val="110"/>
          <w:sz w:val="28"/>
          <w:szCs w:val="28"/>
          <w:lang w:val="en-US" w:eastAsia="zh-CN"/>
        </w:rPr>
        <w:t>68.42</w:t>
      </w:r>
      <w:r>
        <w:rPr>
          <w:rFonts w:hint="eastAsia" w:ascii="仿宋" w:hAnsi="仿宋" w:eastAsia="仿宋"/>
          <w:color w:val="auto"/>
          <w:spacing w:val="-7"/>
          <w:w w:val="110"/>
          <w:sz w:val="28"/>
          <w:szCs w:val="28"/>
        </w:rPr>
        <w:t>%。教育部新世纪人才计划人选2人，湖南省“百人计划”专家1人，省级学科带头人2人；教师年龄结构以中青年教师为主，学缘结构合理，多来自中山大学、南开大学</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中南大学、</w:t>
      </w:r>
      <w:r>
        <w:rPr>
          <w:rFonts w:hint="eastAsia" w:ascii="仿宋" w:hAnsi="仿宋" w:eastAsia="仿宋"/>
          <w:color w:val="auto"/>
          <w:spacing w:val="-7"/>
          <w:w w:val="110"/>
          <w:sz w:val="28"/>
          <w:szCs w:val="28"/>
          <w:lang w:val="en-US" w:eastAsia="zh-CN"/>
        </w:rPr>
        <w:t>中央</w:t>
      </w:r>
      <w:r>
        <w:rPr>
          <w:rFonts w:hint="eastAsia" w:ascii="仿宋" w:hAnsi="仿宋" w:eastAsia="仿宋"/>
          <w:color w:val="auto"/>
          <w:spacing w:val="-7"/>
          <w:w w:val="110"/>
          <w:sz w:val="28"/>
          <w:szCs w:val="28"/>
        </w:rPr>
        <w:t>财经大学等国内著名高校。</w:t>
      </w:r>
    </w:p>
    <w:p>
      <w:pPr>
        <w:pStyle w:val="3"/>
        <w:snapToGrid w:val="0"/>
        <w:spacing w:before="0" w:after="0" w:line="360" w:lineRule="auto"/>
        <w:rPr>
          <w:rFonts w:ascii="黑体" w:hAnsi="黑体" w:eastAsia="黑体"/>
          <w:b w:val="0"/>
          <w:bCs w:val="0"/>
        </w:rPr>
      </w:pPr>
      <w:bookmarkStart w:id="6" w:name="_Toc92457806"/>
      <w:r>
        <w:rPr>
          <w:rFonts w:hint="eastAsia" w:ascii="黑体" w:hAnsi="黑体" w:eastAsia="黑体"/>
          <w:b w:val="0"/>
          <w:bCs w:val="0"/>
        </w:rPr>
        <w:t>二、研究生党建与思想政治教育工作</w:t>
      </w:r>
      <w:bookmarkEnd w:id="6"/>
    </w:p>
    <w:p>
      <w:pPr>
        <w:pStyle w:val="4"/>
        <w:snapToGrid w:val="0"/>
        <w:spacing w:before="0" w:after="0" w:line="360" w:lineRule="auto"/>
        <w:ind w:firstLine="618" w:firstLineChars="200"/>
        <w:rPr>
          <w:rFonts w:ascii="仿宋" w:hAnsi="仿宋" w:eastAsia="仿宋"/>
          <w:w w:val="110"/>
          <w:sz w:val="28"/>
          <w:szCs w:val="28"/>
        </w:rPr>
      </w:pPr>
      <w:bookmarkStart w:id="7" w:name="_Toc92457807"/>
      <w:bookmarkStart w:id="8" w:name="_Hlk92201961"/>
      <w:r>
        <w:rPr>
          <w:rFonts w:hint="eastAsia" w:ascii="仿宋" w:hAnsi="仿宋" w:eastAsia="仿宋"/>
          <w:w w:val="110"/>
          <w:sz w:val="28"/>
          <w:szCs w:val="28"/>
        </w:rPr>
        <w:t>1</w:t>
      </w:r>
      <w:r>
        <w:rPr>
          <w:rFonts w:ascii="仿宋" w:hAnsi="仿宋" w:eastAsia="仿宋"/>
          <w:w w:val="110"/>
          <w:sz w:val="28"/>
          <w:szCs w:val="28"/>
        </w:rPr>
        <w:t xml:space="preserve">. </w:t>
      </w:r>
      <w:r>
        <w:rPr>
          <w:rFonts w:hint="eastAsia" w:ascii="仿宋" w:hAnsi="仿宋" w:eastAsia="仿宋"/>
          <w:w w:val="110"/>
          <w:sz w:val="28"/>
          <w:szCs w:val="28"/>
        </w:rPr>
        <w:t>思想政治教育队伍建设</w:t>
      </w:r>
      <w:bookmarkEnd w:id="7"/>
    </w:p>
    <w:p>
      <w:pPr>
        <w:snapToGrid w:val="0"/>
        <w:spacing w:line="360" w:lineRule="auto"/>
        <w:ind w:firstLine="588" w:firstLineChars="200"/>
        <w:jc w:val="left"/>
        <w:rPr>
          <w:rFonts w:hint="eastAsia" w:ascii="仿宋" w:hAnsi="仿宋" w:eastAsia="仿宋"/>
          <w:spacing w:val="-7"/>
          <w:w w:val="110"/>
          <w:sz w:val="28"/>
          <w:szCs w:val="28"/>
        </w:rPr>
      </w:pPr>
      <w:r>
        <w:rPr>
          <w:rFonts w:hint="eastAsia" w:ascii="仿宋" w:hAnsi="仿宋" w:eastAsia="仿宋"/>
          <w:spacing w:val="-7"/>
          <w:w w:val="110"/>
          <w:sz w:val="28"/>
          <w:szCs w:val="28"/>
        </w:rPr>
        <w:t>根据研究生教育管理的需要，成立了以主管研究生思想政治工作的学院党委书记为组长、分管研究生教育培养的院长为副组长、研究生专职秘书、</w:t>
      </w:r>
      <w:r>
        <w:rPr>
          <w:rFonts w:hint="eastAsia" w:ascii="仿宋" w:hAnsi="仿宋" w:eastAsia="仿宋"/>
          <w:spacing w:val="-7"/>
          <w:w w:val="110"/>
          <w:sz w:val="28"/>
          <w:szCs w:val="28"/>
          <w:lang w:val="en-US" w:eastAsia="zh-CN"/>
        </w:rPr>
        <w:t>研究生专干辅导员、</w:t>
      </w:r>
      <w:r>
        <w:rPr>
          <w:rFonts w:hint="eastAsia" w:ascii="仿宋" w:hAnsi="仿宋" w:eastAsia="仿宋"/>
          <w:spacing w:val="-7"/>
          <w:w w:val="110"/>
          <w:sz w:val="28"/>
          <w:szCs w:val="28"/>
        </w:rPr>
        <w:t>研究生导师代表为成员的院研究生思想政治教育工作小组；组建了学院研究生党支部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学生会</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各年级</w:t>
      </w:r>
      <w:r>
        <w:rPr>
          <w:rFonts w:hint="eastAsia" w:ascii="仿宋" w:hAnsi="仿宋" w:eastAsia="仿宋"/>
          <w:spacing w:val="-7"/>
          <w:w w:val="110"/>
          <w:sz w:val="28"/>
          <w:szCs w:val="28"/>
        </w:rPr>
        <w:t>班委会、团支部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完善了研究生思想政治教育队伍建设。</w:t>
      </w:r>
    </w:p>
    <w:p>
      <w:pPr>
        <w:snapToGrid w:val="0"/>
        <w:spacing w:line="360" w:lineRule="auto"/>
        <w:ind w:firstLine="588" w:firstLineChars="200"/>
        <w:jc w:val="left"/>
      </w:pPr>
      <w:r>
        <w:rPr>
          <w:rFonts w:hint="eastAsia" w:ascii="仿宋" w:hAnsi="仿宋" w:eastAsia="仿宋"/>
          <w:spacing w:val="-7"/>
          <w:w w:val="110"/>
          <w:sz w:val="28"/>
          <w:szCs w:val="28"/>
        </w:rPr>
        <w:t>根据</w:t>
      </w:r>
      <w:r>
        <w:rPr>
          <w:rFonts w:hint="eastAsia" w:ascii="仿宋" w:hAnsi="仿宋" w:eastAsia="仿宋"/>
          <w:spacing w:val="-7"/>
          <w:w w:val="110"/>
          <w:sz w:val="28"/>
          <w:szCs w:val="28"/>
          <w:lang w:val="en-US" w:eastAsia="zh-CN"/>
        </w:rPr>
        <w:t>学院</w:t>
      </w:r>
      <w:r>
        <w:rPr>
          <w:rFonts w:hint="eastAsia" w:ascii="仿宋" w:hAnsi="仿宋" w:eastAsia="仿宋"/>
          <w:spacing w:val="-7"/>
          <w:w w:val="110"/>
          <w:sz w:val="28"/>
          <w:szCs w:val="28"/>
        </w:rPr>
        <w:t>的统一安排部署，</w:t>
      </w: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认真扎实开展学习贯彻习近平新时代中国特色社会主义思想主题教育。</w:t>
      </w:r>
      <w:r>
        <w:rPr>
          <w:rFonts w:hint="eastAsia" w:ascii="仿宋" w:hAnsi="仿宋" w:eastAsia="仿宋"/>
          <w:spacing w:val="-7"/>
          <w:w w:val="110"/>
          <w:sz w:val="28"/>
          <w:szCs w:val="28"/>
          <w:lang w:val="en-US" w:eastAsia="zh-CN"/>
        </w:rPr>
        <w:t>研究生第一支部</w:t>
      </w:r>
      <w:r>
        <w:rPr>
          <w:rFonts w:hint="eastAsia" w:ascii="仿宋" w:hAnsi="仿宋" w:eastAsia="仿宋"/>
          <w:spacing w:val="-7"/>
          <w:w w:val="110"/>
          <w:sz w:val="28"/>
          <w:szCs w:val="28"/>
        </w:rPr>
        <w:t>扎实开展“一月一课一片一实践”活动，通过组织党员讲“微党课”、组织学生党员讲述“成长故事”、观看党员专题教育片、开展党员志愿服务、清明节祭扫英烈等活动，有力提升了组织生活的吸引力、影响力和感染力，党员参与度显著提升，以此推动党员积极发挥先锋模范和引领示范作用，积极投身服务师生和建设学院的工作实践中，切实以高质量的组织生活推动基层党建走深走实。</w:t>
      </w:r>
    </w:p>
    <w:p>
      <w:pPr>
        <w:pStyle w:val="4"/>
        <w:snapToGrid w:val="0"/>
        <w:spacing w:before="0" w:after="0" w:line="360" w:lineRule="auto"/>
        <w:ind w:firstLine="618" w:firstLineChars="200"/>
        <w:rPr>
          <w:rFonts w:hint="eastAsia" w:ascii="仿宋" w:hAnsi="仿宋" w:eastAsia="仿宋"/>
          <w:w w:val="110"/>
          <w:sz w:val="28"/>
          <w:szCs w:val="28"/>
        </w:rPr>
      </w:pPr>
      <w:bookmarkStart w:id="9" w:name="_Toc92457808"/>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理想信念和社会主义核心价值观教育</w:t>
      </w:r>
      <w:bookmarkEnd w:id="9"/>
    </w:p>
    <w:p>
      <w:pPr>
        <w:snapToGrid w:val="0"/>
        <w:spacing w:line="360" w:lineRule="auto"/>
        <w:ind w:firstLine="588" w:firstLineChars="200"/>
        <w:jc w:val="left"/>
        <w:rPr>
          <w:rFonts w:ascii="仿宋" w:hAnsi="仿宋" w:eastAsia="仿宋"/>
          <w:color w:val="auto"/>
          <w:spacing w:val="-7"/>
          <w:w w:val="110"/>
          <w:sz w:val="28"/>
          <w:szCs w:val="28"/>
        </w:rPr>
      </w:pPr>
      <w:r>
        <w:rPr>
          <w:rFonts w:hint="eastAsia" w:ascii="仿宋" w:hAnsi="仿宋" w:eastAsia="仿宋"/>
          <w:spacing w:val="-7"/>
          <w:w w:val="110"/>
          <w:sz w:val="28"/>
          <w:szCs w:val="28"/>
        </w:rPr>
        <w:t>学位点在研究生入学初即开展了</w:t>
      </w:r>
      <w:r>
        <w:rPr>
          <w:rFonts w:hint="eastAsia" w:ascii="仿宋" w:hAnsi="仿宋" w:eastAsia="仿宋"/>
          <w:spacing w:val="-7"/>
          <w:w w:val="110"/>
          <w:sz w:val="28"/>
          <w:szCs w:val="28"/>
          <w:lang w:val="en-US" w:eastAsia="zh-CN"/>
        </w:rPr>
        <w:t>师生交流会暨</w:t>
      </w:r>
      <w:r>
        <w:rPr>
          <w:rFonts w:hint="eastAsia" w:ascii="仿宋" w:hAnsi="仿宋" w:eastAsia="仿宋"/>
          <w:spacing w:val="-7"/>
          <w:w w:val="110"/>
          <w:sz w:val="28"/>
          <w:szCs w:val="28"/>
        </w:rPr>
        <w:t>研究生</w:t>
      </w:r>
      <w:r>
        <w:rPr>
          <w:rFonts w:hint="eastAsia" w:ascii="仿宋" w:hAnsi="仿宋" w:eastAsia="仿宋"/>
          <w:spacing w:val="-7"/>
          <w:w w:val="110"/>
          <w:sz w:val="28"/>
          <w:szCs w:val="28"/>
          <w:lang w:val="en-US" w:eastAsia="zh-CN"/>
        </w:rPr>
        <w:t>思想政治教育与学术道德教育</w:t>
      </w:r>
      <w:r>
        <w:rPr>
          <w:rFonts w:hint="eastAsia" w:ascii="仿宋" w:hAnsi="仿宋" w:eastAsia="仿宋"/>
          <w:spacing w:val="-7"/>
          <w:w w:val="110"/>
          <w:sz w:val="28"/>
          <w:szCs w:val="28"/>
        </w:rPr>
        <w:t>，对师生的理想信念和社会主义核心价值观教育等进行教育</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通过学院党委书记、分管院长、教师代表、学生代表发言，从不同角度</w:t>
      </w:r>
      <w:r>
        <w:rPr>
          <w:rFonts w:hint="eastAsia" w:ascii="仿宋" w:hAnsi="仿宋" w:eastAsia="仿宋"/>
          <w:spacing w:val="-7"/>
          <w:w w:val="110"/>
          <w:sz w:val="28"/>
          <w:szCs w:val="28"/>
        </w:rPr>
        <w:t>深入推进</w:t>
      </w:r>
      <w:r>
        <w:rPr>
          <w:rFonts w:hint="eastAsia" w:ascii="仿宋" w:hAnsi="仿宋" w:eastAsia="仿宋"/>
          <w:spacing w:val="-7"/>
          <w:w w:val="110"/>
          <w:sz w:val="28"/>
          <w:szCs w:val="28"/>
          <w:lang w:val="en-US" w:eastAsia="zh-CN"/>
        </w:rPr>
        <w:t>了</w:t>
      </w:r>
      <w:r>
        <w:rPr>
          <w:rFonts w:hint="eastAsia" w:ascii="仿宋" w:hAnsi="仿宋" w:eastAsia="仿宋"/>
          <w:spacing w:val="-7"/>
          <w:w w:val="110"/>
          <w:sz w:val="28"/>
          <w:szCs w:val="28"/>
        </w:rPr>
        <w:t>师德师风建设，</w:t>
      </w:r>
      <w:r>
        <w:rPr>
          <w:rFonts w:hint="eastAsia" w:ascii="仿宋" w:hAnsi="仿宋" w:eastAsia="仿宋"/>
          <w:spacing w:val="-7"/>
          <w:w w:val="110"/>
          <w:sz w:val="28"/>
          <w:szCs w:val="28"/>
          <w:lang w:val="en-US" w:eastAsia="zh-CN"/>
        </w:rPr>
        <w:t>让</w:t>
      </w:r>
      <w:r>
        <w:rPr>
          <w:rFonts w:hint="eastAsia" w:ascii="仿宋" w:hAnsi="仿宋" w:eastAsia="仿宋"/>
          <w:spacing w:val="-7"/>
          <w:w w:val="110"/>
          <w:sz w:val="28"/>
          <w:szCs w:val="28"/>
        </w:rPr>
        <w:t>广大教师坚持立德树人，坚持以“四有好老师”</w:t>
      </w:r>
      <w:r>
        <w:rPr>
          <w:rFonts w:hint="eastAsia" w:ascii="仿宋" w:hAnsi="仿宋" w:eastAsia="仿宋"/>
          <w:spacing w:val="-7"/>
          <w:w w:val="110"/>
          <w:sz w:val="28"/>
          <w:szCs w:val="28"/>
          <w:lang w:val="en-US" w:eastAsia="zh-CN"/>
        </w:rPr>
        <w:t>标准</w:t>
      </w:r>
      <w:r>
        <w:rPr>
          <w:rFonts w:hint="eastAsia" w:ascii="仿宋" w:hAnsi="仿宋" w:eastAsia="仿宋"/>
          <w:spacing w:val="-7"/>
          <w:w w:val="110"/>
          <w:sz w:val="28"/>
          <w:szCs w:val="28"/>
        </w:rPr>
        <w:t>严格要求自己</w:t>
      </w:r>
      <w:r>
        <w:rPr>
          <w:rFonts w:hint="eastAsia" w:ascii="仿宋" w:hAnsi="仿宋" w:eastAsia="仿宋"/>
          <w:spacing w:val="-7"/>
          <w:w w:val="110"/>
          <w:sz w:val="28"/>
          <w:szCs w:val="28"/>
          <w:lang w:eastAsia="zh-CN"/>
        </w:rPr>
        <w:t>。</w:t>
      </w:r>
      <w:r>
        <w:rPr>
          <w:rFonts w:hint="eastAsia" w:ascii="仿宋" w:hAnsi="仿宋" w:eastAsia="仿宋"/>
          <w:color w:val="auto"/>
          <w:spacing w:val="-7"/>
          <w:w w:val="110"/>
          <w:sz w:val="28"/>
          <w:szCs w:val="28"/>
        </w:rPr>
        <w:t>为真正做到让202</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级研究生新生“稳心、暖心、贴心”，学院领导和班主任</w:t>
      </w:r>
      <w:r>
        <w:rPr>
          <w:rFonts w:hint="eastAsia" w:ascii="仿宋" w:hAnsi="仿宋" w:eastAsia="仿宋"/>
          <w:color w:val="auto"/>
          <w:spacing w:val="-7"/>
          <w:w w:val="110"/>
          <w:sz w:val="28"/>
          <w:szCs w:val="28"/>
          <w:lang w:val="en-US" w:eastAsia="zh-CN"/>
        </w:rPr>
        <w:t>在研究生新生入学时下寝关心学生，并与新生欢度2023年国庆中秋佳节</w:t>
      </w:r>
      <w:r>
        <w:rPr>
          <w:rFonts w:hint="eastAsia" w:ascii="仿宋" w:hAnsi="仿宋" w:eastAsia="仿宋"/>
          <w:color w:val="auto"/>
          <w:spacing w:val="-7"/>
          <w:w w:val="110"/>
          <w:sz w:val="28"/>
          <w:szCs w:val="28"/>
        </w:rPr>
        <w:t>。</w:t>
      </w:r>
    </w:p>
    <w:p>
      <w:pPr>
        <w:snapToGrid w:val="0"/>
        <w:spacing w:line="360" w:lineRule="auto"/>
        <w:ind w:firstLine="588" w:firstLineChars="200"/>
        <w:jc w:val="left"/>
        <w:rPr>
          <w:rFonts w:hint="eastAsia" w:ascii="仿宋" w:hAnsi="仿宋" w:eastAsia="仿宋"/>
          <w:color w:val="auto"/>
          <w:spacing w:val="-7"/>
          <w:w w:val="110"/>
          <w:sz w:val="28"/>
          <w:szCs w:val="28"/>
          <w:lang w:eastAsia="zh-CN"/>
        </w:rPr>
      </w:pPr>
      <w:r>
        <w:rPr>
          <w:rFonts w:hint="eastAsia" w:ascii="仿宋" w:hAnsi="仿宋" w:eastAsia="仿宋"/>
          <w:spacing w:val="-7"/>
          <w:w w:val="110"/>
          <w:sz w:val="28"/>
          <w:szCs w:val="28"/>
        </w:rPr>
        <w:t>广大教师牢固树立了中国特色社会主义理想信念，扎根湖南西部和民族地区，甘于奉献，为湘西教育事业和经济社会发展服务。</w:t>
      </w:r>
      <w:r>
        <w:rPr>
          <w:rFonts w:hint="eastAsia" w:ascii="仿宋" w:hAnsi="仿宋" w:eastAsia="仿宋"/>
          <w:spacing w:val="-7"/>
          <w:w w:val="110"/>
          <w:sz w:val="28"/>
          <w:szCs w:val="28"/>
          <w:lang w:val="en-US" w:eastAsia="zh-CN"/>
        </w:rPr>
        <w:t>学院</w:t>
      </w:r>
      <w:r>
        <w:rPr>
          <w:rFonts w:hint="eastAsia" w:ascii="仿宋" w:hAnsi="仿宋" w:eastAsia="仿宋"/>
          <w:color w:val="auto"/>
          <w:spacing w:val="-7"/>
          <w:w w:val="110"/>
          <w:sz w:val="28"/>
          <w:szCs w:val="28"/>
        </w:rPr>
        <w:t>组织</w:t>
      </w:r>
      <w:r>
        <w:rPr>
          <w:rFonts w:hint="eastAsia" w:ascii="仿宋" w:hAnsi="仿宋" w:eastAsia="仿宋"/>
          <w:color w:val="auto"/>
          <w:spacing w:val="-7"/>
          <w:w w:val="110"/>
          <w:sz w:val="28"/>
          <w:szCs w:val="28"/>
          <w:lang w:val="en-US" w:eastAsia="zh-CN"/>
        </w:rPr>
        <w:t>研究生师生</w:t>
      </w:r>
      <w:r>
        <w:rPr>
          <w:rFonts w:hint="eastAsia" w:ascii="仿宋" w:hAnsi="仿宋" w:eastAsia="仿宋"/>
          <w:color w:val="auto"/>
          <w:spacing w:val="-7"/>
          <w:w w:val="110"/>
          <w:sz w:val="28"/>
          <w:szCs w:val="28"/>
        </w:rPr>
        <w:t>通过多种形式学习党的二十大精神、习近平总书记五四讲话精神、两会精神、总书记回信精神、黄大年精神、主题教育系列资料，帮助</w:t>
      </w:r>
      <w:r>
        <w:rPr>
          <w:rFonts w:hint="eastAsia" w:ascii="仿宋" w:hAnsi="仿宋" w:eastAsia="仿宋"/>
          <w:color w:val="auto"/>
          <w:spacing w:val="-7"/>
          <w:w w:val="110"/>
          <w:sz w:val="28"/>
          <w:szCs w:val="28"/>
          <w:lang w:val="en-US" w:eastAsia="zh-CN"/>
        </w:rPr>
        <w:t>师生</w:t>
      </w:r>
      <w:r>
        <w:rPr>
          <w:rFonts w:hint="eastAsia" w:ascii="仿宋" w:hAnsi="仿宋" w:eastAsia="仿宋"/>
          <w:color w:val="auto"/>
          <w:spacing w:val="-7"/>
          <w:w w:val="110"/>
          <w:sz w:val="28"/>
          <w:szCs w:val="28"/>
        </w:rPr>
        <w:t>从思想上和行动上坚持捍卫“两个确立”，坚决做到“两个维护”，做好学生成长成才的引路人</w:t>
      </w:r>
      <w:r>
        <w:rPr>
          <w:rFonts w:hint="eastAsia" w:ascii="仿宋" w:hAnsi="仿宋" w:eastAsia="仿宋"/>
          <w:color w:val="auto"/>
          <w:spacing w:val="-7"/>
          <w:w w:val="110"/>
          <w:sz w:val="28"/>
          <w:szCs w:val="28"/>
          <w:lang w:eastAsia="zh-CN"/>
        </w:rPr>
        <w:t>。</w:t>
      </w:r>
    </w:p>
    <w:p>
      <w:pPr>
        <w:pStyle w:val="4"/>
        <w:snapToGrid w:val="0"/>
        <w:spacing w:before="0" w:after="0" w:line="360" w:lineRule="auto"/>
        <w:ind w:firstLine="618" w:firstLineChars="200"/>
        <w:rPr>
          <w:rFonts w:ascii="仿宋" w:hAnsi="仿宋" w:eastAsia="仿宋"/>
          <w:w w:val="110"/>
          <w:sz w:val="28"/>
          <w:szCs w:val="28"/>
        </w:rPr>
      </w:pPr>
      <w:bookmarkStart w:id="10" w:name="_Toc92457809"/>
      <w:r>
        <w:rPr>
          <w:rFonts w:hint="eastAsia" w:ascii="仿宋" w:hAnsi="仿宋" w:eastAsia="仿宋"/>
          <w:w w:val="110"/>
          <w:sz w:val="28"/>
          <w:szCs w:val="28"/>
        </w:rPr>
        <w:t>3</w:t>
      </w:r>
      <w:r>
        <w:rPr>
          <w:rFonts w:ascii="仿宋" w:hAnsi="仿宋" w:eastAsia="仿宋"/>
          <w:w w:val="110"/>
          <w:sz w:val="28"/>
          <w:szCs w:val="28"/>
        </w:rPr>
        <w:t>.</w:t>
      </w:r>
      <w:r>
        <w:rPr>
          <w:rFonts w:hint="eastAsia" w:ascii="仿宋" w:hAnsi="仿宋" w:eastAsia="仿宋"/>
          <w:w w:val="110"/>
          <w:sz w:val="28"/>
          <w:szCs w:val="28"/>
        </w:rPr>
        <w:t>学位点</w:t>
      </w:r>
      <w:r>
        <w:rPr>
          <w:rFonts w:hint="eastAsia" w:ascii="仿宋" w:hAnsi="仿宋" w:eastAsia="仿宋"/>
          <w:sz w:val="28"/>
          <w:szCs w:val="28"/>
        </w:rPr>
        <w:t>文化</w:t>
      </w:r>
      <w:r>
        <w:rPr>
          <w:rFonts w:hint="eastAsia" w:ascii="仿宋" w:hAnsi="仿宋" w:eastAsia="仿宋"/>
          <w:w w:val="110"/>
          <w:sz w:val="28"/>
          <w:szCs w:val="28"/>
        </w:rPr>
        <w:t>建设情况</w:t>
      </w:r>
      <w:bookmarkEnd w:id="10"/>
    </w:p>
    <w:bookmarkEnd w:id="8"/>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本年度学位点全面落实立德树人根本任务，将立德树人具化为培养学生经世济民情怀，着力构建一体化育人体系，形成思政教育大格局。</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打造“三个文化”，推进社会实践开展。打造“弘扬红色文化”实践活动，依托“灯塔学子”志愿服务、“青年红色筑梦之旅”、“青春心向党·追梦新征程”朗诵比赛及“我为群众办实事”主题实践活动等活动，开展红色实践，传承红色基因。实施“传承传统文化”实践活动，依托五四歌咏比赛、武陵风情风俗走访活动等，传承传统文化。开展“打造职业文化”实践活动，依托“千村大调查”“武陵山片区区域发展研究”等，打造职业文化。</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）突出“党支部+学科发展”思路，夯实基层党组织。聚焦政治建设，让思想引领强起来。在人才引进、导师评聘、职称评定中把师德师风作为首要标准，依托“十八洞村”讲好中国脱贫</w:t>
      </w:r>
      <w:r>
        <w:rPr>
          <w:rFonts w:hint="eastAsia" w:ascii="仿宋" w:hAnsi="仿宋" w:eastAsia="仿宋"/>
          <w:spacing w:val="-7"/>
          <w:w w:val="110"/>
          <w:sz w:val="28"/>
          <w:szCs w:val="28"/>
          <w:lang w:val="en-US" w:eastAsia="zh-CN"/>
        </w:rPr>
        <w:t>和乡村振兴</w:t>
      </w:r>
      <w:r>
        <w:rPr>
          <w:rFonts w:hint="eastAsia" w:ascii="仿宋" w:hAnsi="仿宋" w:eastAsia="仿宋"/>
          <w:spacing w:val="-7"/>
          <w:w w:val="110"/>
          <w:sz w:val="28"/>
          <w:szCs w:val="28"/>
        </w:rPr>
        <w:t>故事。聚焦组织建设，让作用发挥强起来。落实“党支部+”工作方案，夯实党支部支撑学科发展着力点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聚焦人才建设，让支部书记强起来。把支部书记作为人才储备进行培养，选拔优秀“双带头人”。</w:t>
      </w:r>
    </w:p>
    <w:p>
      <w:pPr>
        <w:pStyle w:val="4"/>
        <w:snapToGrid w:val="0"/>
        <w:spacing w:before="0" w:after="0" w:line="360" w:lineRule="auto"/>
        <w:ind w:firstLine="618" w:firstLineChars="200"/>
        <w:rPr>
          <w:rFonts w:ascii="仿宋" w:hAnsi="仿宋" w:eastAsia="仿宋"/>
          <w:w w:val="110"/>
          <w:sz w:val="28"/>
          <w:szCs w:val="28"/>
        </w:rPr>
      </w:pPr>
      <w:bookmarkStart w:id="11" w:name="_Toc92457810"/>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w w:val="110"/>
          <w:sz w:val="28"/>
          <w:szCs w:val="28"/>
        </w:rPr>
        <w:t>学位点日常管理、服务工作情况</w:t>
      </w:r>
      <w:bookmarkEnd w:id="11"/>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在研究生入学初即开展了研究生入学教育，对研究生的理想信念和社会主义核心价值观教育等进行教育，并畅通了学生信息反馈渠道，建立了谈话机制，各专业都有信息联络员，可以保证随时对学生群体中出现的心理问题进行疏导。对有家庭经济困难的，学习、生活中碰到障碍的可能引发学生价值观偏向的学生，学位点组织了专人与之谈话。全年共做理想信念和社会主义核心价值观教育类讲座近10场，各类层次的谈话20余次。</w:t>
      </w:r>
    </w:p>
    <w:p>
      <w:pPr>
        <w:snapToGrid w:val="0"/>
        <w:spacing w:line="360" w:lineRule="auto"/>
        <w:ind w:firstLine="588" w:firstLineChars="200"/>
        <w:jc w:val="left"/>
        <w:rPr>
          <w:rFonts w:hint="eastAsia" w:ascii="仿宋" w:hAnsi="仿宋" w:eastAsia="仿宋"/>
          <w:color w:val="auto"/>
          <w:spacing w:val="-7"/>
          <w:w w:val="110"/>
          <w:sz w:val="28"/>
          <w:szCs w:val="28"/>
          <w:lang w:eastAsia="zh-CN"/>
        </w:rPr>
      </w:pPr>
      <w:r>
        <w:rPr>
          <w:rFonts w:hint="eastAsia" w:ascii="仿宋" w:hAnsi="仿宋" w:eastAsia="仿宋"/>
          <w:spacing w:val="-7"/>
          <w:w w:val="110"/>
          <w:sz w:val="28"/>
          <w:szCs w:val="28"/>
        </w:rPr>
        <w:t>学位点积极组织研究生开展各种主题活动，本年度共组织或参加元旦晚会、毕业晚会、研究生英语翻译大赛、英语演讲大赛、研究生辩论赛、第十</w:t>
      </w:r>
      <w:r>
        <w:rPr>
          <w:rFonts w:hint="eastAsia" w:ascii="仿宋" w:hAnsi="仿宋" w:eastAsia="仿宋"/>
          <w:spacing w:val="-7"/>
          <w:w w:val="110"/>
          <w:sz w:val="28"/>
          <w:szCs w:val="28"/>
          <w:lang w:val="en-US" w:eastAsia="zh-CN"/>
        </w:rPr>
        <w:t>五</w:t>
      </w:r>
      <w:r>
        <w:rPr>
          <w:rFonts w:hint="eastAsia" w:ascii="仿宋" w:hAnsi="仿宋" w:eastAsia="仿宋"/>
          <w:spacing w:val="-7"/>
          <w:w w:val="110"/>
          <w:sz w:val="28"/>
          <w:szCs w:val="28"/>
        </w:rPr>
        <w:t>届“挑战杯”湖南省大学生课外学术科技作品竞赛、第十三届“华中杯”大学生数学建模挑战赛、“正大杯全国大学生市场调查与分析大赛”全国研究生选拔赛、“东方财富杯”全国大学生金融精英挑战赛国赛、</w:t>
      </w:r>
      <w:r>
        <w:rPr>
          <w:rFonts w:hint="eastAsia" w:ascii="仿宋" w:hAnsi="仿宋" w:eastAsia="仿宋"/>
          <w:color w:val="auto"/>
          <w:spacing w:val="-7"/>
          <w:w w:val="110"/>
          <w:sz w:val="28"/>
          <w:szCs w:val="28"/>
        </w:rPr>
        <w:t>吉首大学第</w:t>
      </w:r>
      <w:r>
        <w:rPr>
          <w:rFonts w:hint="eastAsia" w:ascii="仿宋" w:hAnsi="仿宋" w:eastAsia="仿宋"/>
          <w:color w:val="auto"/>
          <w:spacing w:val="-7"/>
          <w:w w:val="110"/>
          <w:sz w:val="28"/>
          <w:szCs w:val="28"/>
          <w:lang w:val="en-US" w:eastAsia="zh-CN"/>
        </w:rPr>
        <w:t>三</w:t>
      </w:r>
      <w:r>
        <w:rPr>
          <w:rFonts w:hint="eastAsia" w:ascii="仿宋" w:hAnsi="仿宋" w:eastAsia="仿宋"/>
          <w:color w:val="auto"/>
          <w:spacing w:val="-7"/>
          <w:w w:val="110"/>
          <w:sz w:val="28"/>
          <w:szCs w:val="28"/>
        </w:rPr>
        <w:t>届</w:t>
      </w:r>
      <w:r>
        <w:rPr>
          <w:rFonts w:hint="eastAsia" w:ascii="仿宋" w:hAnsi="仿宋" w:eastAsia="仿宋"/>
          <w:color w:val="auto"/>
          <w:spacing w:val="-7"/>
          <w:w w:val="110"/>
          <w:sz w:val="28"/>
          <w:szCs w:val="28"/>
          <w:lang w:val="en-US" w:eastAsia="zh-CN"/>
        </w:rPr>
        <w:t>金融</w:t>
      </w:r>
      <w:r>
        <w:rPr>
          <w:rFonts w:hint="eastAsia" w:ascii="仿宋" w:hAnsi="仿宋" w:eastAsia="仿宋"/>
          <w:color w:val="auto"/>
          <w:spacing w:val="-7"/>
          <w:w w:val="110"/>
          <w:sz w:val="28"/>
          <w:szCs w:val="28"/>
        </w:rPr>
        <w:t>案例</w:t>
      </w:r>
      <w:r>
        <w:rPr>
          <w:rFonts w:hint="eastAsia" w:ascii="仿宋" w:hAnsi="仿宋" w:eastAsia="仿宋"/>
          <w:color w:val="auto"/>
          <w:spacing w:val="-7"/>
          <w:w w:val="110"/>
          <w:sz w:val="28"/>
          <w:szCs w:val="28"/>
          <w:lang w:val="en-US" w:eastAsia="zh-CN"/>
        </w:rPr>
        <w:t>分析</w:t>
      </w:r>
      <w:r>
        <w:rPr>
          <w:rFonts w:hint="eastAsia" w:ascii="仿宋" w:hAnsi="仿宋" w:eastAsia="仿宋"/>
          <w:color w:val="auto"/>
          <w:spacing w:val="-7"/>
          <w:w w:val="110"/>
          <w:sz w:val="28"/>
          <w:szCs w:val="28"/>
        </w:rPr>
        <w:t>大赛、全国MPA</w:t>
      </w:r>
      <w:r>
        <w:rPr>
          <w:rFonts w:hint="eastAsia" w:ascii="仿宋" w:hAnsi="仿宋" w:eastAsia="仿宋"/>
          <w:color w:val="auto"/>
          <w:spacing w:val="-7"/>
          <w:w w:val="110"/>
          <w:sz w:val="28"/>
          <w:szCs w:val="28"/>
          <w:lang w:val="en-US" w:eastAsia="zh-CN"/>
        </w:rPr>
        <w:t>cc</w:t>
      </w:r>
      <w:r>
        <w:rPr>
          <w:rFonts w:hint="eastAsia" w:ascii="仿宋" w:hAnsi="仿宋" w:eastAsia="仿宋"/>
          <w:color w:val="auto"/>
          <w:spacing w:val="-7"/>
          <w:w w:val="110"/>
          <w:sz w:val="28"/>
          <w:szCs w:val="28"/>
        </w:rPr>
        <w:t>案例大赛等丰富校园文化生活的活动，且都有较好的成绩</w:t>
      </w:r>
      <w:r>
        <w:rPr>
          <w:rFonts w:hint="eastAsia" w:ascii="仿宋" w:hAnsi="仿宋" w:eastAsia="仿宋"/>
          <w:color w:val="auto"/>
          <w:spacing w:val="-7"/>
          <w:w w:val="110"/>
          <w:sz w:val="28"/>
          <w:szCs w:val="28"/>
          <w:lang w:eastAsia="zh-CN"/>
        </w:rPr>
        <w:t>。</w:t>
      </w:r>
    </w:p>
    <w:p>
      <w:pPr>
        <w:snapToGrid w:val="0"/>
        <w:spacing w:line="360" w:lineRule="auto"/>
        <w:ind w:firstLine="588" w:firstLineChars="200"/>
        <w:jc w:val="left"/>
        <w:rPr>
          <w:rFonts w:hint="eastAsia" w:ascii="仿宋" w:hAnsi="仿宋" w:eastAsia="仿宋"/>
          <w:color w:val="auto"/>
          <w:spacing w:val="-7"/>
          <w:w w:val="110"/>
          <w:sz w:val="28"/>
          <w:szCs w:val="28"/>
          <w:lang w:val="en-US" w:eastAsia="zh-CN"/>
        </w:rPr>
      </w:pPr>
      <w:r>
        <w:rPr>
          <w:rFonts w:hint="eastAsia" w:ascii="仿宋" w:hAnsi="仿宋" w:eastAsia="仿宋"/>
          <w:color w:val="auto"/>
          <w:spacing w:val="-7"/>
          <w:w w:val="110"/>
          <w:sz w:val="28"/>
          <w:szCs w:val="28"/>
          <w:lang w:val="en-US" w:eastAsia="zh-CN"/>
        </w:rPr>
        <w:t>其中，学位点研究生在全国第十八届挑战杯大学生课外学术科技作品竞赛主体赛荣获国家级团体二等奖1项；湖南省第三届金融案例大赛获团体奖一等奖2项，三等奖1项，吉首大学获评最佳组织奖；“正大杯”第十三届全国大学生市场调查与分析大赛湖南省赛区研究生组选拔赛团体二等奖1项；吉首大学MPAcc企业案例大赛校级团体二等奖1项；吉首大学“正大杯”第十三届市场调查与分析大赛团体二等奖1项；吉首大学研究生英语演讲比赛个人二等奖1项；吉首大学商学院“以辩会友，激昂青春”辩论赛团体奖一等奖1项、二等奖1项、三等奖2项。</w:t>
      </w:r>
      <w:bookmarkStart w:id="12" w:name="_Toc92457811"/>
    </w:p>
    <w:p>
      <w:pPr>
        <w:snapToGrid w:val="0"/>
        <w:spacing w:line="360" w:lineRule="auto"/>
        <w:jc w:val="left"/>
        <w:rPr>
          <w:rFonts w:hint="eastAsia" w:ascii="黑体" w:hAnsi="黑体" w:eastAsia="黑体" w:cstheme="majorBidi"/>
          <w:b w:val="0"/>
          <w:bCs w:val="0"/>
          <w:kern w:val="2"/>
          <w:sz w:val="32"/>
          <w:szCs w:val="32"/>
          <w:lang w:val="en-US" w:eastAsia="zh-CN" w:bidi="ar-SA"/>
        </w:rPr>
      </w:pPr>
      <w:r>
        <w:rPr>
          <w:rFonts w:hint="eastAsia" w:ascii="黑体" w:hAnsi="黑体" w:eastAsia="黑体" w:cstheme="majorBidi"/>
          <w:b w:val="0"/>
          <w:bCs w:val="0"/>
          <w:kern w:val="2"/>
          <w:sz w:val="32"/>
          <w:szCs w:val="32"/>
          <w:lang w:val="en-US" w:eastAsia="zh-CN" w:bidi="ar-SA"/>
        </w:rPr>
        <w:t>三、研究生培养相关制度及执行情况</w:t>
      </w:r>
      <w:bookmarkEnd w:id="12"/>
      <w:bookmarkStart w:id="13" w:name="_Toc92457812"/>
    </w:p>
    <w:p>
      <w:pPr>
        <w:snapToGrid w:val="0"/>
        <w:spacing w:line="360" w:lineRule="auto"/>
        <w:ind w:firstLine="618" w:firstLineChars="200"/>
        <w:jc w:val="left"/>
        <w:rPr>
          <w:rFonts w:hint="eastAsia" w:ascii="仿宋" w:hAnsi="仿宋" w:eastAsia="仿宋" w:cs="Times New Roman"/>
          <w:b/>
          <w:bCs/>
          <w:w w:val="110"/>
          <w:kern w:val="2"/>
          <w:sz w:val="28"/>
          <w:szCs w:val="28"/>
          <w:lang w:val="en-US" w:eastAsia="zh-CN" w:bidi="ar-SA"/>
        </w:rPr>
      </w:pPr>
      <w:r>
        <w:rPr>
          <w:rFonts w:hint="eastAsia" w:ascii="仿宋" w:hAnsi="仿宋" w:eastAsia="仿宋" w:cs="Times New Roman"/>
          <w:b/>
          <w:bCs/>
          <w:w w:val="110"/>
          <w:kern w:val="2"/>
          <w:sz w:val="28"/>
          <w:szCs w:val="28"/>
          <w:lang w:val="en-US" w:eastAsia="zh-CN" w:bidi="ar-SA"/>
        </w:rPr>
        <w:t>1. 课程建设与实施情况</w:t>
      </w:r>
      <w:bookmarkEnd w:id="13"/>
    </w:p>
    <w:p>
      <w:pPr>
        <w:snapToGrid w:val="0"/>
        <w:spacing w:line="360" w:lineRule="auto"/>
        <w:ind w:firstLine="588" w:firstLineChars="200"/>
        <w:jc w:val="left"/>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学位点课程开设以培养学生扎实的应用经济学基础理论、现代前沿研究方法和工具，具有国际视野、人文素养、经济思维、理论和实践创新能力为目标,同时能够理论联系实际，开展规范与实证研究，且熟悉欠发达地区经济社会发展实际的问题，能提出解决实际问题方案的高水平经济管理应用人才。</w:t>
      </w:r>
    </w:p>
    <w:p>
      <w:pPr>
        <w:snapToGrid w:val="0"/>
        <w:spacing w:line="360" w:lineRule="auto"/>
        <w:ind w:firstLine="588" w:firstLineChars="200"/>
        <w:jc w:val="left"/>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同时将“新商科”与“新文科”人才理念全方位深层次融入应用经济学人才培养全过程。对照“新商科”和思政教育要求，构建多学科交叉的课程框架体系，建成“大数据素养”“特色资源开发管理”“减贫与发展”课程群。针对应用经济学学科的科研需要，在2023级的课程设置中继续设置了2门方法类课程</w:t>
      </w:r>
      <w:r>
        <w:rPr>
          <w:rFonts w:hint="eastAsia" w:ascii="仿宋" w:hAnsi="仿宋" w:eastAsia="仿宋" w:cs="Times New Roman"/>
          <w:b w:val="0"/>
          <w:bCs w:val="0"/>
          <w:color w:val="auto"/>
          <w:spacing w:val="-7"/>
          <w:w w:val="110"/>
          <w:kern w:val="2"/>
          <w:sz w:val="28"/>
          <w:szCs w:val="28"/>
          <w:lang w:val="en-US" w:eastAsia="zh-CN" w:bidi="ar-SA"/>
        </w:rPr>
        <w:t>《空间经济与GIS技术应用》和《统计与大数据分析方法》，</w:t>
      </w:r>
      <w:r>
        <w:rPr>
          <w:rFonts w:hint="eastAsia" w:ascii="仿宋" w:hAnsi="仿宋" w:eastAsia="仿宋" w:cs="Times New Roman"/>
          <w:b w:val="0"/>
          <w:bCs w:val="0"/>
          <w:spacing w:val="-7"/>
          <w:w w:val="110"/>
          <w:kern w:val="2"/>
          <w:sz w:val="28"/>
          <w:szCs w:val="28"/>
          <w:lang w:val="en-US" w:eastAsia="zh-CN" w:bidi="ar-SA"/>
        </w:rPr>
        <w:t>为研究生论文写作奠定了扎实的方法论基础。</w:t>
      </w:r>
    </w:p>
    <w:p>
      <w:pPr>
        <w:snapToGrid w:val="0"/>
        <w:spacing w:line="360" w:lineRule="auto"/>
        <w:ind w:firstLine="588" w:firstLineChars="200"/>
        <w:jc w:val="left"/>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在方法上深入推进课堂教学改革，实施一流课程教学模式。  推动互联网、大数据等现代技术在课堂教学中的应用，构建“互联网+专业教育”智能课堂教学模式；大力开展课程网站建设，支持任课教师开展在线教学。依托本土课程资源开展案例研讨式教学，推行以能力培养为导向、以问题探究为中心的“教师引导-学生参与”式研究性教学体系。</w:t>
      </w:r>
    </w:p>
    <w:p>
      <w:pPr>
        <w:snapToGrid w:val="0"/>
        <w:spacing w:line="360" w:lineRule="auto"/>
        <w:ind w:firstLine="588" w:firstLineChars="200"/>
        <w:jc w:val="left"/>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本学位点还将教学质量作为职称评聘首要标准，开展教学型教授、副教授评聘；改革年终绩效分配，把参与教研活动、编写教材案例、指导学生创新创业训练等计入工作量；实施“教学督导+学生”评教制度，并将评价结果与年终绩效分配挂钩。</w:t>
      </w:r>
    </w:p>
    <w:p>
      <w:pPr>
        <w:pStyle w:val="4"/>
        <w:snapToGrid w:val="0"/>
        <w:spacing w:before="0" w:after="0" w:line="360" w:lineRule="auto"/>
        <w:ind w:firstLine="618" w:firstLineChars="200"/>
        <w:rPr>
          <w:rFonts w:ascii="仿宋" w:hAnsi="仿宋" w:eastAsia="仿宋"/>
          <w:w w:val="110"/>
          <w:sz w:val="28"/>
          <w:szCs w:val="28"/>
        </w:rPr>
      </w:pPr>
      <w:bookmarkStart w:id="14" w:name="_Toc92457813"/>
      <w:r>
        <w:rPr>
          <w:rFonts w:ascii="仿宋" w:hAnsi="仿宋" w:eastAsia="仿宋"/>
          <w:w w:val="110"/>
          <w:sz w:val="28"/>
          <w:szCs w:val="28"/>
        </w:rPr>
        <w:t xml:space="preserve">2. </w:t>
      </w:r>
      <w:r>
        <w:rPr>
          <w:rFonts w:hint="eastAsia" w:ascii="仿宋" w:hAnsi="仿宋" w:eastAsia="仿宋"/>
          <w:w w:val="110"/>
          <w:sz w:val="28"/>
          <w:szCs w:val="28"/>
        </w:rPr>
        <w:t>导师</w:t>
      </w:r>
      <w:r>
        <w:rPr>
          <w:rFonts w:hint="eastAsia" w:ascii="仿宋" w:hAnsi="仿宋" w:eastAsia="仿宋"/>
          <w:sz w:val="28"/>
          <w:szCs w:val="28"/>
        </w:rPr>
        <w:t>选拔</w:t>
      </w:r>
      <w:r>
        <w:rPr>
          <w:rFonts w:hint="eastAsia" w:ascii="仿宋" w:hAnsi="仿宋" w:eastAsia="仿宋"/>
          <w:w w:val="110"/>
          <w:sz w:val="28"/>
          <w:szCs w:val="28"/>
        </w:rPr>
        <w:t>与培训情况</w:t>
      </w:r>
      <w:bookmarkEnd w:id="14"/>
    </w:p>
    <w:p>
      <w:pPr>
        <w:snapToGrid w:val="0"/>
        <w:spacing w:line="360" w:lineRule="auto"/>
        <w:ind w:firstLine="588" w:firstLineChars="200"/>
        <w:jc w:val="left"/>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lang w:val="en-US" w:eastAsia="zh-CN"/>
        </w:rPr>
        <w:t>本年度学位点严格按照学院研究生培养的需要，遴选思想政治素质过硬、学术科研能力强、有责任心的博士或高级职称的专家学者成为硕士生导师。经严格规范程序筛选本年度学位点共聘任了校内导师3名，校外实践导师3名，其中教授2名，具有博士学位的6名。</w:t>
      </w:r>
    </w:p>
    <w:p>
      <w:pPr>
        <w:snapToGrid w:val="0"/>
        <w:spacing w:line="360" w:lineRule="auto"/>
        <w:ind w:firstLine="588" w:firstLineChars="200"/>
        <w:jc w:val="left"/>
        <w:rPr>
          <w:rFonts w:hint="eastAsia" w:ascii="仿宋" w:hAnsi="仿宋" w:eastAsia="仿宋"/>
          <w:spacing w:val="-7"/>
          <w:w w:val="110"/>
          <w:sz w:val="28"/>
          <w:szCs w:val="28"/>
        </w:rPr>
      </w:pPr>
      <w:r>
        <w:rPr>
          <w:rFonts w:hint="eastAsia" w:ascii="仿宋" w:hAnsi="仿宋" w:eastAsia="仿宋"/>
          <w:spacing w:val="-7"/>
          <w:w w:val="110"/>
          <w:sz w:val="28"/>
          <w:szCs w:val="28"/>
          <w:lang w:val="en-US" w:eastAsia="zh-CN"/>
        </w:rPr>
        <w:t>学位点按照研究生导师的立德树人职责及三全育人标准对导师展开培训。本年度新增3名校内硕士生导师已培训合格上岗，学位点所有硕士生导师每年均定期参加了学校和学位点组织的各类培训。</w:t>
      </w:r>
    </w:p>
    <w:p>
      <w:pPr>
        <w:pStyle w:val="4"/>
        <w:snapToGrid w:val="0"/>
        <w:spacing w:before="0" w:after="0" w:line="360" w:lineRule="auto"/>
        <w:ind w:firstLine="618" w:firstLineChars="200"/>
        <w:rPr>
          <w:rFonts w:ascii="仿宋" w:hAnsi="仿宋" w:eastAsia="仿宋"/>
          <w:w w:val="110"/>
          <w:sz w:val="28"/>
          <w:szCs w:val="28"/>
        </w:rPr>
      </w:pPr>
      <w:bookmarkStart w:id="15" w:name="_Toc92457814"/>
      <w:r>
        <w:rPr>
          <w:rFonts w:ascii="仿宋" w:hAnsi="仿宋" w:eastAsia="仿宋"/>
          <w:w w:val="110"/>
          <w:sz w:val="28"/>
          <w:szCs w:val="28"/>
        </w:rPr>
        <w:t xml:space="preserve">3. </w:t>
      </w:r>
      <w:r>
        <w:rPr>
          <w:rFonts w:hint="eastAsia" w:ascii="仿宋" w:hAnsi="仿宋" w:eastAsia="仿宋"/>
          <w:w w:val="110"/>
          <w:sz w:val="28"/>
          <w:szCs w:val="28"/>
        </w:rPr>
        <w:t>师德师风</w:t>
      </w:r>
      <w:r>
        <w:rPr>
          <w:rFonts w:hint="eastAsia" w:ascii="仿宋" w:hAnsi="仿宋" w:eastAsia="仿宋"/>
          <w:sz w:val="28"/>
          <w:szCs w:val="28"/>
        </w:rPr>
        <w:t>建设</w:t>
      </w:r>
      <w:r>
        <w:rPr>
          <w:rFonts w:hint="eastAsia" w:ascii="仿宋" w:hAnsi="仿宋" w:eastAsia="仿宋"/>
          <w:w w:val="110"/>
          <w:sz w:val="28"/>
          <w:szCs w:val="28"/>
        </w:rPr>
        <w:t>情况</w:t>
      </w:r>
      <w:bookmarkEnd w:id="15"/>
    </w:p>
    <w:p>
      <w:pPr>
        <w:pStyle w:val="4"/>
        <w:snapToGrid w:val="0"/>
        <w:spacing w:before="0" w:after="0" w:line="360" w:lineRule="auto"/>
        <w:ind w:firstLine="588" w:firstLineChars="200"/>
        <w:rPr>
          <w:rFonts w:hint="eastAsia" w:ascii="仿宋" w:hAnsi="仿宋" w:eastAsia="仿宋" w:cs="Times New Roman"/>
          <w:b w:val="0"/>
          <w:bCs w:val="0"/>
          <w:spacing w:val="-7"/>
          <w:w w:val="110"/>
          <w:kern w:val="2"/>
          <w:sz w:val="28"/>
          <w:szCs w:val="28"/>
          <w:lang w:val="en-US" w:eastAsia="zh-CN" w:bidi="ar-SA"/>
        </w:rPr>
      </w:pPr>
      <w:bookmarkStart w:id="16" w:name="_Toc92457815"/>
      <w:r>
        <w:rPr>
          <w:rFonts w:hint="eastAsia" w:ascii="仿宋" w:hAnsi="仿宋" w:eastAsia="仿宋" w:cs="Times New Roman"/>
          <w:b w:val="0"/>
          <w:bCs w:val="0"/>
          <w:spacing w:val="-7"/>
          <w:w w:val="110"/>
          <w:kern w:val="2"/>
          <w:sz w:val="28"/>
          <w:szCs w:val="28"/>
          <w:lang w:val="en-US" w:eastAsia="zh-CN" w:bidi="ar-SA"/>
        </w:rPr>
        <w:t>开展导师师德师风专题培训，要求导师对照研究生导师的立德树人职责做出自我评估，整改提高，实施师德师风一票否决制，全面落实师德师风建设相关标准与政策要求。开展以“加强师德师风建设争做‘四有’好老师”为主题的师德师风集中学习教育，主要内容包括学习师德师风相关规定文件，师德师风警示教育学习，主要是通过观看电影《黄大年》、分教研室进行主题为“加强师德师风建设，争做‘四有’好老师”的交流研讨。同时，学院党委还组织全体教师党员开展以“牢记立德树人使命，做铸魂育人践行者”为主题的学习研讨活动。</w:t>
      </w:r>
    </w:p>
    <w:p>
      <w:pPr>
        <w:pStyle w:val="4"/>
        <w:snapToGrid w:val="0"/>
        <w:spacing w:before="0" w:after="0" w:line="360" w:lineRule="auto"/>
        <w:ind w:firstLine="588" w:firstLineChars="200"/>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结合导师师德师风建设要求，学位点认真开展了导师2023年度考核，明确了科研、教学和素养等各方面的综合要求，并将考核结果应用于导师的招生资格审查。对于违反导师行为准则、考核周期内所指导学生出现学术造假或不端行为者，取消硕士研究生导师招生资格。</w:t>
      </w:r>
    </w:p>
    <w:p>
      <w:pPr>
        <w:pStyle w:val="4"/>
        <w:snapToGrid w:val="0"/>
        <w:spacing w:before="0" w:after="0" w:line="360" w:lineRule="auto"/>
        <w:ind w:firstLine="618" w:firstLineChars="200"/>
        <w:rPr>
          <w:rFonts w:ascii="仿宋" w:hAnsi="仿宋" w:eastAsia="仿宋"/>
          <w:w w:val="110"/>
          <w:sz w:val="28"/>
          <w:szCs w:val="28"/>
        </w:rPr>
      </w:pPr>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sz w:val="28"/>
          <w:szCs w:val="28"/>
        </w:rPr>
        <w:t>学术</w:t>
      </w:r>
      <w:r>
        <w:rPr>
          <w:rFonts w:hint="eastAsia" w:ascii="仿宋" w:hAnsi="仿宋" w:eastAsia="仿宋"/>
          <w:w w:val="110"/>
          <w:sz w:val="28"/>
          <w:szCs w:val="28"/>
        </w:rPr>
        <w:t>训练情况</w:t>
      </w:r>
      <w:bookmarkEnd w:id="16"/>
    </w:p>
    <w:p>
      <w:pPr>
        <w:snapToGrid w:val="0"/>
        <w:spacing w:line="360" w:lineRule="auto"/>
        <w:ind w:firstLine="588" w:firstLineChars="200"/>
        <w:jc w:val="left"/>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学位点积极开展学术报告，定期举办学术讲座，组织研究生参加省、地（市）经济学和管理学学术年会活动。学位点相关研究所和研究基地也能吸收研究生一起开展科研和学术交流活动，为研究生创造了较多的学术交流渠道。</w:t>
      </w:r>
      <w:r>
        <w:rPr>
          <w:rFonts w:hint="eastAsia" w:ascii="仿宋" w:hAnsi="仿宋" w:eastAsia="仿宋"/>
          <w:spacing w:val="-7"/>
          <w:w w:val="110"/>
          <w:sz w:val="28"/>
          <w:szCs w:val="28"/>
          <w:lang w:val="en-US" w:eastAsia="zh-CN"/>
        </w:rPr>
        <w:t>学院以“数智化”为主题征集论文与案例，举办了吉首大学2023年学术活动节商学院分会场，共收集论文28篇，案例6篇，通过此次学术活动节加强了学生科研能力。</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lang w:val="en-US" w:eastAsia="zh-CN"/>
        </w:rPr>
        <w:t>另外</w:t>
      </w:r>
      <w:r>
        <w:rPr>
          <w:rFonts w:hint="eastAsia" w:ascii="仿宋" w:hAnsi="仿宋" w:eastAsia="仿宋"/>
          <w:spacing w:val="-7"/>
          <w:w w:val="110"/>
          <w:sz w:val="28"/>
          <w:szCs w:val="28"/>
        </w:rPr>
        <w:t>本年度共举办、承办、参加了202</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年西部综合开发研究会年会</w:t>
      </w:r>
      <w:r>
        <w:rPr>
          <w:rFonts w:hint="eastAsia" w:ascii="仿宋" w:hAnsi="仿宋" w:eastAsia="仿宋"/>
          <w:spacing w:val="-7"/>
          <w:w w:val="110"/>
          <w:sz w:val="28"/>
          <w:szCs w:val="28"/>
          <w:lang w:eastAsia="zh-CN"/>
        </w:rPr>
        <w:t>、西部经济研讨会年会、乡村振兴暨武陵山区论坛、</w:t>
      </w:r>
      <w:r>
        <w:rPr>
          <w:rFonts w:hint="eastAsia" w:ascii="仿宋" w:hAnsi="仿宋" w:eastAsia="仿宋"/>
          <w:spacing w:val="-7"/>
          <w:w w:val="110"/>
          <w:sz w:val="28"/>
          <w:szCs w:val="28"/>
          <w:lang w:val="en-US" w:eastAsia="zh-CN"/>
        </w:rPr>
        <w:t>中国区域经济学会少数民族地区经济专业委员会2023年会、“正大杯”第十四届全国大学生市场调查与分析大赛线上公益培训、第十三届湖南衡社会科学届学术年会、湖南省外国经济学说研究会、湖南省第十五届研究生创新论坛、湖南省管理科学学会年会、第二届“尹世杰”杯大学生学术论文大赛、湖南省技术经济与管理现代化研究学会，</w:t>
      </w:r>
      <w:r>
        <w:rPr>
          <w:rFonts w:hint="eastAsia" w:ascii="仿宋" w:hAnsi="仿宋" w:eastAsia="仿宋"/>
          <w:spacing w:val="-7"/>
          <w:w w:val="110"/>
          <w:sz w:val="28"/>
          <w:szCs w:val="28"/>
        </w:rPr>
        <w:t>获学会优秀论文奖一、二、三等奖奖项共</w:t>
      </w:r>
      <w:r>
        <w:rPr>
          <w:rFonts w:hint="eastAsia" w:ascii="仿宋" w:hAnsi="仿宋" w:eastAsia="仿宋"/>
          <w:spacing w:val="-7"/>
          <w:w w:val="110"/>
          <w:sz w:val="28"/>
          <w:szCs w:val="28"/>
          <w:lang w:val="en-US" w:eastAsia="zh-CN"/>
        </w:rPr>
        <w:t>24</w:t>
      </w:r>
      <w:r>
        <w:rPr>
          <w:rFonts w:hint="eastAsia" w:ascii="仿宋" w:hAnsi="仿宋" w:eastAsia="仿宋"/>
          <w:color w:val="auto"/>
          <w:spacing w:val="-7"/>
          <w:w w:val="110"/>
          <w:sz w:val="28"/>
          <w:szCs w:val="28"/>
        </w:rPr>
        <w:t>项（表</w:t>
      </w:r>
      <w:r>
        <w:rPr>
          <w:rFonts w:hint="eastAsia" w:ascii="仿宋" w:hAnsi="仿宋" w:eastAsia="仿宋"/>
          <w:color w:val="auto"/>
          <w:spacing w:val="-7"/>
          <w:w w:val="110"/>
          <w:sz w:val="28"/>
          <w:szCs w:val="28"/>
          <w:lang w:val="en-US" w:eastAsia="zh-CN"/>
        </w:rPr>
        <w:t>2</w:t>
      </w:r>
      <w:r>
        <w:rPr>
          <w:rFonts w:hint="eastAsia" w:ascii="仿宋" w:hAnsi="仿宋" w:eastAsia="仿宋"/>
          <w:color w:val="auto"/>
          <w:spacing w:val="-7"/>
          <w:w w:val="110"/>
          <w:sz w:val="28"/>
          <w:szCs w:val="28"/>
        </w:rPr>
        <w:t>）</w:t>
      </w:r>
      <w:r>
        <w:rPr>
          <w:rFonts w:hint="eastAsia" w:ascii="仿宋" w:hAnsi="仿宋" w:eastAsia="仿宋"/>
          <w:spacing w:val="-7"/>
          <w:w w:val="110"/>
          <w:sz w:val="28"/>
          <w:szCs w:val="28"/>
        </w:rPr>
        <w:t>。</w:t>
      </w:r>
    </w:p>
    <w:p>
      <w:pPr>
        <w:tabs>
          <w:tab w:val="left" w:pos="1260"/>
        </w:tabs>
        <w:snapToGrid w:val="0"/>
        <w:spacing w:line="360" w:lineRule="auto"/>
        <w:jc w:val="center"/>
        <w:rPr>
          <w:rFonts w:ascii="仿宋" w:hAnsi="仿宋" w:eastAsia="仿宋" w:cs="宋体"/>
          <w:w w:val="115"/>
          <w:sz w:val="24"/>
          <w:szCs w:val="24"/>
        </w:rPr>
      </w:pPr>
      <w:r>
        <w:rPr>
          <w:rFonts w:hint="eastAsia" w:ascii="仿宋" w:hAnsi="仿宋" w:eastAsia="仿宋" w:cs="宋体"/>
          <w:w w:val="115"/>
          <w:sz w:val="24"/>
          <w:szCs w:val="24"/>
        </w:rPr>
        <w:t>表</w:t>
      </w:r>
      <w:r>
        <w:rPr>
          <w:rFonts w:hint="eastAsia" w:ascii="仿宋" w:hAnsi="仿宋" w:eastAsia="仿宋" w:cs="宋体"/>
          <w:w w:val="115"/>
          <w:sz w:val="24"/>
          <w:szCs w:val="24"/>
          <w:lang w:val="en-US" w:eastAsia="zh-CN"/>
        </w:rPr>
        <w:t>2</w:t>
      </w:r>
      <w:r>
        <w:rPr>
          <w:rFonts w:ascii="仿宋" w:hAnsi="仿宋" w:eastAsia="仿宋" w:cs="宋体"/>
          <w:w w:val="115"/>
          <w:sz w:val="24"/>
          <w:szCs w:val="24"/>
        </w:rPr>
        <w:t xml:space="preserve"> </w:t>
      </w:r>
      <w:r>
        <w:rPr>
          <w:rFonts w:hint="eastAsia" w:ascii="仿宋" w:hAnsi="仿宋" w:eastAsia="仿宋" w:cs="宋体"/>
          <w:w w:val="115"/>
          <w:sz w:val="24"/>
          <w:szCs w:val="24"/>
        </w:rPr>
        <w:t>202</w:t>
      </w:r>
      <w:r>
        <w:rPr>
          <w:rFonts w:hint="eastAsia" w:ascii="仿宋" w:hAnsi="仿宋" w:eastAsia="仿宋" w:cs="宋体"/>
          <w:w w:val="115"/>
          <w:sz w:val="24"/>
          <w:szCs w:val="24"/>
          <w:lang w:val="en-US" w:eastAsia="zh-CN"/>
        </w:rPr>
        <w:t>3</w:t>
      </w:r>
      <w:r>
        <w:rPr>
          <w:rFonts w:hint="eastAsia" w:ascii="仿宋" w:hAnsi="仿宋" w:eastAsia="仿宋" w:cs="宋体"/>
          <w:w w:val="115"/>
          <w:sz w:val="24"/>
          <w:szCs w:val="24"/>
        </w:rPr>
        <w:t>年学会论文获奖统计表（部分）</w:t>
      </w:r>
    </w:p>
    <w:tbl>
      <w:tblPr>
        <w:tblStyle w:val="1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3269"/>
        <w:gridCol w:w="1115"/>
        <w:gridCol w:w="914"/>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3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姓名</w:t>
            </w:r>
          </w:p>
        </w:tc>
        <w:tc>
          <w:tcPr>
            <w:tcW w:w="32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获奖名称</w:t>
            </w:r>
          </w:p>
        </w:tc>
        <w:tc>
          <w:tcPr>
            <w:tcW w:w="11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获奖等级</w:t>
            </w:r>
          </w:p>
        </w:tc>
        <w:tc>
          <w:tcPr>
            <w:tcW w:w="914"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获奖时间</w:t>
            </w:r>
          </w:p>
        </w:tc>
        <w:tc>
          <w:tcPr>
            <w:tcW w:w="285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bookmarkStart w:id="17" w:name="_Toc92457816"/>
            <w:r>
              <w:rPr>
                <w:rFonts w:hint="eastAsia" w:ascii="仿宋" w:hAnsi="仿宋" w:eastAsia="仿宋"/>
                <w:spacing w:val="-7"/>
                <w:w w:val="110"/>
                <w:sz w:val="22"/>
                <w:szCs w:val="22"/>
                <w:lang w:val="en-US" w:eastAsia="zh-CN"/>
              </w:rPr>
              <w:t>万航</w:t>
            </w:r>
          </w:p>
        </w:tc>
        <w:tc>
          <w:tcPr>
            <w:tcW w:w="326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w:t>
            </w:r>
          </w:p>
        </w:tc>
        <w:tc>
          <w:tcPr>
            <w:tcW w:w="111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万航</w:t>
            </w:r>
          </w:p>
        </w:tc>
        <w:tc>
          <w:tcPr>
            <w:tcW w:w="326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2022.11</w:t>
            </w:r>
          </w:p>
        </w:tc>
        <w:tc>
          <w:tcPr>
            <w:tcW w:w="285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胡定国</w:t>
            </w:r>
          </w:p>
        </w:tc>
        <w:tc>
          <w:tcPr>
            <w:tcW w:w="326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湖南省管理科学年会</w:t>
            </w:r>
          </w:p>
        </w:tc>
        <w:tc>
          <w:tcPr>
            <w:tcW w:w="111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周传辉</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郭慧</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第十三届湖南衡社会科学届学术年会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湖南省社会科学界学术年会组织委员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黄世瑛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黄世瑛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李鑫雯</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万佳怡</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湖南省管理科学学会年会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万佳怡</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湖南省管理科学学会年会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万佳怡</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湖南省西部综合研究会论坛</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万佳怡</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湖南省西部综合研究会论坛</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万佳怡</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第二届“尹世杰”杯大学生学术论文大赛</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最佳人气奖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湘潭大学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王国涛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王国涛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王国涛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王国涛</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湖南省技术经济与管理现代化研究会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张舒阳</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张舒阳</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张舒阳</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湖南省管理科学学会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2023.12</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湖南省管理科学学会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赵家傲</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杨淼</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陈美瑜</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陈美瑜</w:t>
            </w:r>
          </w:p>
        </w:tc>
        <w:tc>
          <w:tcPr>
            <w:tcW w:w="326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1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一等奖</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2023.11</w:t>
            </w:r>
          </w:p>
        </w:tc>
        <w:tc>
          <w:tcPr>
            <w:tcW w:w="2857"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湖南省西部综合开发研究会</w:t>
            </w:r>
          </w:p>
        </w:tc>
      </w:tr>
    </w:tbl>
    <w:p>
      <w:pPr>
        <w:snapToGrid w:val="0"/>
        <w:spacing w:line="360" w:lineRule="auto"/>
        <w:ind w:firstLine="616" w:firstLineChars="200"/>
        <w:jc w:val="left"/>
        <w:rPr>
          <w:rFonts w:ascii="仿宋" w:hAnsi="仿宋" w:eastAsia="仿宋"/>
          <w:w w:val="110"/>
          <w:sz w:val="28"/>
          <w:szCs w:val="28"/>
        </w:rPr>
      </w:pPr>
    </w:p>
    <w:p>
      <w:pPr>
        <w:pStyle w:val="4"/>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 xml:space="preserve">5. </w:t>
      </w:r>
      <w:r>
        <w:rPr>
          <w:rFonts w:hint="eastAsia" w:ascii="仿宋" w:hAnsi="仿宋" w:eastAsia="仿宋"/>
          <w:w w:val="110"/>
          <w:sz w:val="28"/>
          <w:szCs w:val="28"/>
        </w:rPr>
        <w:t>学术</w:t>
      </w:r>
      <w:r>
        <w:rPr>
          <w:rFonts w:hint="eastAsia" w:ascii="仿宋" w:hAnsi="仿宋" w:eastAsia="仿宋"/>
          <w:sz w:val="28"/>
          <w:szCs w:val="28"/>
        </w:rPr>
        <w:t>交流</w:t>
      </w:r>
      <w:r>
        <w:rPr>
          <w:rFonts w:hint="eastAsia" w:ascii="仿宋" w:hAnsi="仿宋" w:eastAsia="仿宋"/>
          <w:w w:val="110"/>
          <w:sz w:val="28"/>
          <w:szCs w:val="28"/>
        </w:rPr>
        <w:t>情况</w:t>
      </w:r>
      <w:bookmarkEnd w:id="17"/>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每月利用周末的时间定期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202</w:t>
      </w:r>
      <w:r>
        <w:rPr>
          <w:rFonts w:hint="eastAsia" w:ascii="仿宋" w:hAnsi="仿宋" w:eastAsia="仿宋"/>
          <w:spacing w:val="-7"/>
          <w:w w:val="110"/>
          <w:sz w:val="28"/>
          <w:szCs w:val="28"/>
          <w:lang w:val="en-US" w:eastAsia="zh-CN"/>
        </w:rPr>
        <w:t>3</w:t>
      </w:r>
      <w:r>
        <w:rPr>
          <w:rFonts w:hint="eastAsia" w:ascii="仿宋" w:hAnsi="仿宋" w:eastAsia="仿宋"/>
          <w:spacing w:val="-7"/>
          <w:w w:val="110"/>
          <w:sz w:val="28"/>
          <w:szCs w:val="28"/>
        </w:rPr>
        <w:t>年一共进行了</w:t>
      </w:r>
      <w:r>
        <w:rPr>
          <w:rFonts w:hint="eastAsia" w:ascii="仿宋" w:hAnsi="仿宋" w:eastAsia="仿宋"/>
          <w:spacing w:val="-7"/>
          <w:w w:val="110"/>
          <w:sz w:val="28"/>
          <w:szCs w:val="28"/>
          <w:lang w:val="en-US" w:eastAsia="zh-CN"/>
        </w:rPr>
        <w:t>17</w:t>
      </w:r>
      <w:r>
        <w:rPr>
          <w:rFonts w:hint="eastAsia" w:ascii="仿宋" w:hAnsi="仿宋" w:eastAsia="仿宋"/>
          <w:spacing w:val="-7"/>
          <w:w w:val="110"/>
          <w:sz w:val="28"/>
          <w:szCs w:val="28"/>
        </w:rPr>
        <w:t>讲，具体内容在微信公众号“研经商思”——风雨湖大讲堂内详细报导。</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除此之外，学位点举办了以研究生主讲的以每学期双周周二晚上为固定时间的研究生沙龙“齐鲁研论”，每堂之少有2-3名具有博士学位或在读博士教师到场参与点评，研究生们踊跃发言，其他老师点评或补充，具体内容通过“研经商思”微信公众号详细</w:t>
      </w:r>
      <w:r>
        <w:rPr>
          <w:rFonts w:hint="eastAsia" w:ascii="仿宋" w:hAnsi="仿宋" w:eastAsia="仿宋"/>
          <w:spacing w:val="-7"/>
          <w:w w:val="110"/>
          <w:sz w:val="28"/>
          <w:szCs w:val="28"/>
          <w:lang w:val="en-US" w:eastAsia="zh-CN"/>
        </w:rPr>
        <w:t>报导</w:t>
      </w:r>
      <w:r>
        <w:rPr>
          <w:rFonts w:hint="eastAsia" w:ascii="仿宋" w:hAnsi="仿宋" w:eastAsia="仿宋"/>
          <w:spacing w:val="-7"/>
          <w:w w:val="110"/>
          <w:sz w:val="28"/>
          <w:szCs w:val="28"/>
        </w:rPr>
        <w:t>。</w:t>
      </w:r>
    </w:p>
    <w:p>
      <w:pPr>
        <w:snapToGrid w:val="0"/>
        <w:spacing w:line="360" w:lineRule="auto"/>
        <w:ind w:firstLine="588" w:firstLineChars="200"/>
        <w:jc w:val="left"/>
        <w:rPr>
          <w:rFonts w:hint="default" w:ascii="仿宋" w:hAnsi="仿宋" w:eastAsia="仿宋"/>
          <w:spacing w:val="-7"/>
          <w:w w:val="110"/>
          <w:sz w:val="28"/>
          <w:szCs w:val="28"/>
          <w:lang w:val="en-US" w:eastAsia="zh-CN"/>
        </w:rPr>
      </w:pPr>
      <w:r>
        <w:rPr>
          <w:rFonts w:hint="eastAsia" w:ascii="仿宋" w:hAnsi="仿宋" w:eastAsia="仿宋"/>
          <w:color w:val="auto"/>
          <w:spacing w:val="-7"/>
          <w:w w:val="110"/>
          <w:sz w:val="28"/>
          <w:szCs w:val="28"/>
        </w:rPr>
        <w:t>本年年度邀请</w:t>
      </w:r>
      <w:r>
        <w:rPr>
          <w:rFonts w:hint="eastAsia" w:ascii="仿宋" w:hAnsi="仿宋" w:eastAsia="仿宋"/>
          <w:color w:val="auto"/>
          <w:spacing w:val="-7"/>
          <w:w w:val="110"/>
          <w:sz w:val="28"/>
          <w:szCs w:val="28"/>
          <w:lang w:val="en-US" w:eastAsia="zh-CN"/>
        </w:rPr>
        <w:t>了华南农业大学文乐副教授、清华大学社会科学学院经济学研究所博士后廖凯诚、湖南师范大学曾雄佩、中国社会科学研究院林跃勤教授、湖南科技大学刘伟副教授、广东外语外贸大学刘胜、湖南</w:t>
      </w:r>
      <w:r>
        <w:rPr>
          <w:rFonts w:hint="eastAsia" w:ascii="仿宋" w:hAnsi="仿宋" w:eastAsia="仿宋"/>
          <w:spacing w:val="-7"/>
          <w:w w:val="110"/>
          <w:sz w:val="28"/>
          <w:szCs w:val="28"/>
          <w:lang w:val="en-US" w:eastAsia="zh-CN"/>
        </w:rPr>
        <w:t>省社会科学院经济研究所所长李晖、中国人民大学周扬副教授等专家开展了经济学相关讲座，其中，廖凯诚、刘伟、刘胜还是学院的优秀毕业生，通过组织学位点教师与研究生进行学习、学术交流，有效提高了学位点师生学术研究能力，并且营造了良好的科研氛围，通过校友也实现了学位点学术传承，互帮互助的精神。</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一方面创新宣传方式，通过“研经商思”微信公众号，及时推送学术讲座信息、分享学术研究成果、争鸣学术热点、交流学术研究心得、宣传学术达人，另一方面借助学院、武陵山片区扶贫与发展协同创新中心网站平台，定期报道研究生学术沙龙动态，积极营造浓厚的学术氛围。通过一年来的努力，学位点研究生学术氛围明显提升。</w:t>
      </w:r>
    </w:p>
    <w:p>
      <w:pPr>
        <w:pStyle w:val="4"/>
        <w:snapToGrid w:val="0"/>
        <w:spacing w:before="0" w:after="0" w:line="360" w:lineRule="auto"/>
        <w:ind w:firstLine="618" w:firstLineChars="200"/>
        <w:rPr>
          <w:rFonts w:ascii="仿宋" w:hAnsi="仿宋" w:eastAsia="仿宋"/>
          <w:w w:val="110"/>
          <w:sz w:val="28"/>
          <w:szCs w:val="28"/>
        </w:rPr>
      </w:pPr>
      <w:bookmarkStart w:id="18" w:name="_Toc92457817"/>
      <w:r>
        <w:rPr>
          <w:rFonts w:ascii="仿宋" w:hAnsi="仿宋" w:eastAsia="仿宋"/>
          <w:w w:val="110"/>
          <w:sz w:val="28"/>
          <w:szCs w:val="28"/>
        </w:rPr>
        <w:t xml:space="preserve">6. </w:t>
      </w:r>
      <w:r>
        <w:rPr>
          <w:rFonts w:hint="eastAsia" w:ascii="仿宋" w:hAnsi="仿宋" w:eastAsia="仿宋"/>
          <w:w w:val="110"/>
          <w:sz w:val="28"/>
          <w:szCs w:val="28"/>
        </w:rPr>
        <w:t>研究生奖助情况</w:t>
      </w:r>
      <w:bookmarkEnd w:id="18"/>
    </w:p>
    <w:p>
      <w:pPr>
        <w:snapToGrid w:val="0"/>
        <w:spacing w:line="360" w:lineRule="auto"/>
        <w:ind w:firstLine="588" w:firstLineChars="200"/>
        <w:rPr>
          <w:rFonts w:ascii="仿宋" w:hAnsi="仿宋" w:eastAsia="仿宋"/>
          <w:color w:val="auto"/>
          <w:spacing w:val="-7"/>
          <w:w w:val="110"/>
          <w:sz w:val="28"/>
          <w:szCs w:val="28"/>
        </w:rPr>
      </w:pPr>
      <w:r>
        <w:rPr>
          <w:rFonts w:hint="eastAsia" w:ascii="仿宋" w:hAnsi="仿宋" w:eastAsia="仿宋"/>
          <w:spacing w:val="-7"/>
          <w:w w:val="110"/>
          <w:sz w:val="28"/>
          <w:szCs w:val="28"/>
        </w:rPr>
        <w:t>严格按照学校的相关规定评选研究生各类奖助学金，本年度共组织了研究生国家奖学金、学业奖学金、国家助学金，以及研究生三好学生、优秀干部、优秀学位论文等各项评奖评优工作。各项评奖评优均做到了公平、公正、公开、按程序、守时间完成。</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本学位点王淀坤、夏涛获评优秀研究生干部，万航、殷悦获评三好学生，万航</w:t>
      </w:r>
      <w:r>
        <w:rPr>
          <w:rFonts w:hint="eastAsia" w:ascii="仿宋" w:hAnsi="仿宋" w:eastAsia="仿宋"/>
          <w:color w:val="auto"/>
          <w:spacing w:val="-7"/>
          <w:w w:val="110"/>
          <w:sz w:val="28"/>
          <w:szCs w:val="28"/>
        </w:rPr>
        <w:t>获评国家奖学金，</w:t>
      </w:r>
      <w:r>
        <w:rPr>
          <w:rFonts w:hint="eastAsia" w:ascii="仿宋" w:hAnsi="仿宋" w:eastAsia="仿宋"/>
          <w:color w:val="auto"/>
          <w:spacing w:val="-7"/>
          <w:w w:val="110"/>
          <w:sz w:val="28"/>
          <w:szCs w:val="28"/>
          <w:lang w:val="en-US" w:eastAsia="zh-CN"/>
        </w:rPr>
        <w:t>殷悦</w:t>
      </w:r>
      <w:r>
        <w:rPr>
          <w:rFonts w:hint="eastAsia" w:ascii="仿宋" w:hAnsi="仿宋" w:eastAsia="仿宋"/>
          <w:color w:val="auto"/>
          <w:spacing w:val="-7"/>
          <w:w w:val="110"/>
          <w:sz w:val="28"/>
          <w:szCs w:val="28"/>
        </w:rPr>
        <w:t>获</w:t>
      </w:r>
      <w:r>
        <w:rPr>
          <w:rFonts w:hint="eastAsia" w:ascii="仿宋" w:hAnsi="仿宋" w:eastAsia="仿宋"/>
          <w:color w:val="auto"/>
          <w:spacing w:val="-7"/>
          <w:w w:val="110"/>
          <w:sz w:val="28"/>
          <w:szCs w:val="28"/>
          <w:lang w:val="en-US" w:eastAsia="zh-CN"/>
        </w:rPr>
        <w:t>省</w:t>
      </w:r>
      <w:r>
        <w:rPr>
          <w:rFonts w:hint="eastAsia" w:ascii="仿宋" w:hAnsi="仿宋" w:eastAsia="仿宋"/>
          <w:color w:val="auto"/>
          <w:spacing w:val="-7"/>
          <w:w w:val="110"/>
          <w:sz w:val="28"/>
          <w:szCs w:val="28"/>
        </w:rPr>
        <w:t>级优秀毕业生。</w:t>
      </w:r>
    </w:p>
    <w:p>
      <w:pPr>
        <w:pStyle w:val="13"/>
        <w:snapToGrid w:val="0"/>
        <w:spacing w:after="0" w:line="360" w:lineRule="auto"/>
        <w:rPr>
          <w:rFonts w:ascii="仿宋" w:hAnsi="仿宋" w:eastAsia="仿宋"/>
        </w:rPr>
      </w:pPr>
    </w:p>
    <w:p>
      <w:pPr>
        <w:pStyle w:val="3"/>
        <w:snapToGrid w:val="0"/>
        <w:spacing w:before="0" w:after="0" w:line="360" w:lineRule="auto"/>
        <w:rPr>
          <w:rFonts w:ascii="黑体" w:hAnsi="黑体" w:eastAsia="黑体"/>
          <w:b w:val="0"/>
          <w:bCs w:val="0"/>
        </w:rPr>
      </w:pPr>
      <w:bookmarkStart w:id="19" w:name="_Toc92457818"/>
      <w:r>
        <w:rPr>
          <w:rFonts w:hint="eastAsia" w:ascii="黑体" w:hAnsi="黑体" w:eastAsia="黑体"/>
          <w:b w:val="0"/>
          <w:bCs w:val="0"/>
        </w:rPr>
        <w:t>四、研究生教育改革情况</w:t>
      </w:r>
      <w:bookmarkEnd w:id="19"/>
    </w:p>
    <w:p>
      <w:pPr>
        <w:pStyle w:val="4"/>
        <w:snapToGrid w:val="0"/>
        <w:spacing w:before="0" w:after="0" w:line="360" w:lineRule="auto"/>
        <w:ind w:firstLine="618" w:firstLineChars="200"/>
        <w:rPr>
          <w:rFonts w:ascii="仿宋" w:hAnsi="仿宋" w:eastAsia="仿宋"/>
          <w:w w:val="110"/>
          <w:sz w:val="28"/>
          <w:szCs w:val="28"/>
        </w:rPr>
      </w:pPr>
      <w:bookmarkStart w:id="20" w:name="_Toc92457819"/>
      <w:r>
        <w:rPr>
          <w:rFonts w:ascii="仿宋" w:hAnsi="仿宋" w:eastAsia="仿宋"/>
          <w:w w:val="110"/>
          <w:sz w:val="28"/>
          <w:szCs w:val="28"/>
        </w:rPr>
        <w:t xml:space="preserve">1. </w:t>
      </w:r>
      <w:r>
        <w:rPr>
          <w:rFonts w:hint="eastAsia" w:ascii="仿宋" w:hAnsi="仿宋" w:eastAsia="仿宋"/>
          <w:w w:val="110"/>
          <w:sz w:val="28"/>
          <w:szCs w:val="28"/>
        </w:rPr>
        <w:t>人才</w:t>
      </w:r>
      <w:r>
        <w:rPr>
          <w:rFonts w:hint="eastAsia" w:ascii="仿宋" w:hAnsi="仿宋" w:eastAsia="仿宋"/>
          <w:sz w:val="28"/>
          <w:szCs w:val="28"/>
        </w:rPr>
        <w:t>培养</w:t>
      </w:r>
      <w:r>
        <w:rPr>
          <w:rFonts w:hint="eastAsia" w:ascii="仿宋" w:hAnsi="仿宋" w:eastAsia="仿宋"/>
          <w:w w:val="110"/>
          <w:sz w:val="28"/>
          <w:szCs w:val="28"/>
        </w:rPr>
        <w:t>情况</w:t>
      </w:r>
      <w:bookmarkEnd w:id="20"/>
    </w:p>
    <w:p>
      <w:pPr>
        <w:snapToGrid w:val="0"/>
        <w:spacing w:line="360" w:lineRule="auto"/>
        <w:ind w:firstLine="588" w:firstLineChars="200"/>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2</w:t>
      </w:r>
      <w:r>
        <w:rPr>
          <w:rFonts w:hint="eastAsia" w:ascii="仿宋" w:hAnsi="仿宋" w:eastAsia="仿宋"/>
          <w:spacing w:val="-7"/>
          <w:w w:val="110"/>
          <w:sz w:val="28"/>
          <w:szCs w:val="28"/>
          <w:lang w:val="en-US" w:eastAsia="zh-CN"/>
        </w:rPr>
        <w:t>023</w:t>
      </w:r>
      <w:r>
        <w:rPr>
          <w:rFonts w:hint="eastAsia" w:ascii="仿宋" w:hAnsi="仿宋" w:eastAsia="仿宋"/>
          <w:spacing w:val="-7"/>
          <w:w w:val="110"/>
          <w:sz w:val="28"/>
          <w:szCs w:val="28"/>
        </w:rPr>
        <w:t>级研究生入学后及时召开了导师和研究生的见面会，落实每个研究生的导师，并推荐了校外导师。强化学术训练平台建设，支持导师之间组建导师组，强化学术研究和人才培养的沟通交流。</w:t>
      </w:r>
      <w:r>
        <w:rPr>
          <w:rFonts w:hint="eastAsia" w:ascii="仿宋" w:hAnsi="仿宋" w:eastAsia="仿宋"/>
          <w:spacing w:val="-7"/>
          <w:w w:val="110"/>
          <w:sz w:val="28"/>
          <w:szCs w:val="28"/>
          <w:lang w:val="en-US" w:eastAsia="zh-CN"/>
        </w:rPr>
        <w:t>其中获湖南省优秀毕业生1名，湖南省创新创业优秀毕业生1名，湖南省优秀硕士学位论文1篇。</w:t>
      </w:r>
    </w:p>
    <w:p>
      <w:pPr>
        <w:snapToGrid w:val="0"/>
        <w:spacing w:line="360" w:lineRule="auto"/>
        <w:ind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lang w:val="en-US" w:eastAsia="zh-CN"/>
        </w:rPr>
        <w:t>通过学生与导师沟通确定课题题目，学生自主撰写课题申请书，</w:t>
      </w:r>
      <w:r>
        <w:rPr>
          <w:rFonts w:hint="eastAsia" w:ascii="仿宋" w:hAnsi="仿宋" w:eastAsia="仿宋"/>
          <w:color w:val="auto"/>
          <w:spacing w:val="-7"/>
          <w:w w:val="110"/>
          <w:sz w:val="28"/>
          <w:szCs w:val="28"/>
        </w:rPr>
        <w:t>本年度共新增项目1</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项</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包括省级研究生科研创新项目1项、省级研究生创新项目1项、校级课题1项、校级研究生科研创新项目3项、湖南省西部经济研究基地项目6项、武陵山民族地区绿色减贫与发展研究中心开放基金项目1项。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表3</w:t>
      </w:r>
      <w:r>
        <w:rPr>
          <w:rFonts w:hint="eastAsia" w:ascii="仿宋" w:hAnsi="仿宋" w:eastAsia="仿宋"/>
          <w:spacing w:val="-7"/>
          <w:w w:val="110"/>
          <w:sz w:val="28"/>
          <w:szCs w:val="28"/>
          <w:lang w:eastAsia="zh-CN"/>
        </w:rPr>
        <w:t>）</w:t>
      </w:r>
      <w:r>
        <w:rPr>
          <w:rFonts w:hint="eastAsia" w:ascii="仿宋" w:hAnsi="仿宋" w:eastAsia="仿宋"/>
          <w:color w:val="auto"/>
          <w:spacing w:val="-7"/>
          <w:w w:val="110"/>
          <w:sz w:val="28"/>
          <w:szCs w:val="28"/>
          <w:lang w:val="en-US" w:eastAsia="zh-CN"/>
        </w:rPr>
        <w:t>。</w:t>
      </w:r>
    </w:p>
    <w:p>
      <w:pPr>
        <w:snapToGrid w:val="0"/>
        <w:spacing w:line="360" w:lineRule="auto"/>
        <w:jc w:val="center"/>
        <w:rPr>
          <w:rFonts w:hint="eastAsia" w:ascii="仿宋" w:hAnsi="仿宋" w:eastAsia="仿宋"/>
          <w:spacing w:val="-7"/>
          <w:w w:val="110"/>
          <w:sz w:val="28"/>
          <w:szCs w:val="28"/>
          <w:lang w:val="en-US" w:eastAsia="zh-CN"/>
        </w:rPr>
      </w:pPr>
      <w:r>
        <w:rPr>
          <w:rFonts w:hint="eastAsia" w:ascii="仿宋" w:hAnsi="仿宋" w:eastAsia="仿宋" w:cs="仿宋"/>
          <w:spacing w:val="-7"/>
          <w:w w:val="110"/>
          <w:sz w:val="24"/>
          <w:szCs w:val="24"/>
          <w:lang w:val="en-US" w:eastAsia="zh-CN"/>
        </w:rPr>
        <w:t>表3  2023年科研项目立项统计表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2170"/>
        <w:gridCol w:w="12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063" w:type="dxa"/>
            <w:vAlign w:val="center"/>
          </w:tcPr>
          <w:p>
            <w:pPr>
              <w:pStyle w:val="13"/>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项目名称</w:t>
            </w:r>
          </w:p>
        </w:tc>
        <w:tc>
          <w:tcPr>
            <w:tcW w:w="2170" w:type="dxa"/>
            <w:vAlign w:val="center"/>
          </w:tcPr>
          <w:p>
            <w:pPr>
              <w:pStyle w:val="13"/>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项目性质</w:t>
            </w:r>
          </w:p>
        </w:tc>
        <w:tc>
          <w:tcPr>
            <w:tcW w:w="1275" w:type="dxa"/>
            <w:vAlign w:val="center"/>
          </w:tcPr>
          <w:p>
            <w:pPr>
              <w:pStyle w:val="13"/>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起止时间</w:t>
            </w:r>
          </w:p>
        </w:tc>
        <w:tc>
          <w:tcPr>
            <w:tcW w:w="1005" w:type="dxa"/>
            <w:vAlign w:val="center"/>
          </w:tcPr>
          <w:p>
            <w:pPr>
              <w:pStyle w:val="13"/>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1"/>
                <w:szCs w:val="21"/>
                <w:u w:val="none"/>
                <w:lang w:val="en-US" w:eastAsia="zh-CN" w:bidi="ar"/>
              </w:rPr>
              <w:t>数字金融助力相对贫困治理的机制研究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湖南省研究生创新项目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数字乡村影响农户增收的效应研究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数字普惠金融影响区域经济韧性的机制与路径研究--基于企业创新及进入退出的视角</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吉首大学校级课题</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周传辉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1"/>
                <w:szCs w:val="21"/>
                <w:u w:val="none"/>
                <w:lang w:val="en-US" w:eastAsia="zh-CN" w:bidi="ar"/>
              </w:rPr>
              <w:t>湖南省武陵山片区农业经济高质量发展水平测度及影响因素研究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校级研究生科研创新</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湖南人口变化的影响及对策研究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湖南省级研究生科研创新</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仲夏有梦乡村振兴先锋队专业实践团</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吉首大学2023年研究生暑期专业实践活动</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李鑫雯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基于熵权TOPSIS模型的承接产业转移能力评价研究——以湘南湘西示范区为例</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仰玉婷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林业高质量发展与乡村振兴耦合协调性研究——以南方地区为例</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陈熙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西南地区经济韧性对区域高质量发展的影响研究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谢佳丽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数字生态赋能区域创新水平的提升及机制研究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校级科研创新</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绿色金融发展助推绿色产业集聚的机制与对策研究</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武陵山民族地区绿色减贫与发展研究中心开放基金项目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徐菲菲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新型农村集体经济发展的驱动机理和实现机制研究—基于湘西州5个村的调查</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时晟博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3"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数字乡村发展水平测度及时空演变特征研究—以湖南省为例</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湖南省西部经济研究基地项目</w:t>
            </w:r>
          </w:p>
        </w:tc>
        <w:tc>
          <w:tcPr>
            <w:tcW w:w="127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2023-2024</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张曼</w:t>
            </w:r>
          </w:p>
        </w:tc>
      </w:tr>
    </w:tbl>
    <w:p>
      <w:pPr>
        <w:pStyle w:val="4"/>
        <w:snapToGrid w:val="0"/>
        <w:spacing w:before="0" w:after="0" w:line="360" w:lineRule="auto"/>
        <w:ind w:firstLine="618" w:firstLineChars="200"/>
        <w:rPr>
          <w:rFonts w:hint="eastAsia" w:ascii="仿宋" w:hAnsi="仿宋" w:eastAsia="仿宋"/>
          <w:w w:val="110"/>
          <w:sz w:val="28"/>
          <w:szCs w:val="28"/>
        </w:rPr>
      </w:pPr>
      <w:bookmarkStart w:id="21" w:name="_Toc92457820"/>
    </w:p>
    <w:p>
      <w:pPr>
        <w:pStyle w:val="4"/>
        <w:snapToGrid w:val="0"/>
        <w:spacing w:before="0" w:after="0" w:line="360" w:lineRule="auto"/>
        <w:ind w:firstLine="618" w:firstLineChars="200"/>
        <w:rPr>
          <w:rFonts w:ascii="仿宋" w:hAnsi="仿宋" w:eastAsia="仿宋"/>
          <w:w w:val="110"/>
          <w:sz w:val="28"/>
          <w:szCs w:val="28"/>
        </w:rPr>
      </w:pPr>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教师队伍</w:t>
      </w:r>
      <w:r>
        <w:rPr>
          <w:rFonts w:hint="eastAsia" w:ascii="仿宋" w:hAnsi="仿宋" w:eastAsia="仿宋"/>
          <w:sz w:val="28"/>
          <w:szCs w:val="28"/>
        </w:rPr>
        <w:t>建设</w:t>
      </w:r>
      <w:r>
        <w:rPr>
          <w:rFonts w:hint="eastAsia" w:ascii="仿宋" w:hAnsi="仿宋" w:eastAsia="仿宋"/>
          <w:w w:val="110"/>
          <w:sz w:val="28"/>
          <w:szCs w:val="28"/>
        </w:rPr>
        <w:t>情况</w:t>
      </w:r>
      <w:bookmarkEnd w:id="21"/>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目前应用经济学硕士点共有专任教师35人，其中教授12人、副教授14人，博士19人，硕士生导师1</w:t>
      </w:r>
      <w:r>
        <w:rPr>
          <w:rFonts w:hint="eastAsia" w:ascii="仿宋" w:hAnsi="仿宋" w:eastAsia="仿宋"/>
          <w:spacing w:val="-7"/>
          <w:w w:val="110"/>
          <w:sz w:val="28"/>
          <w:szCs w:val="28"/>
          <w:lang w:val="en-US" w:eastAsia="zh-CN"/>
        </w:rPr>
        <w:t>9</w:t>
      </w:r>
      <w:r>
        <w:rPr>
          <w:rFonts w:hint="eastAsia" w:ascii="仿宋" w:hAnsi="仿宋" w:eastAsia="仿宋"/>
          <w:spacing w:val="-7"/>
          <w:w w:val="110"/>
          <w:sz w:val="28"/>
          <w:szCs w:val="28"/>
        </w:rPr>
        <w:t>人，骨干教师或学术活跃教师19名，占比52.78%；教师年龄结构以中青年教师为主，45岁以下教师23位，占比65.71%；学缘结构合理，多来自日本山口大学、中国农业科学院、武汉大学、中央财经大学、中南大学、华中科技大学、中山大学、西南财经大学等国内外著名高校。</w:t>
      </w:r>
    </w:p>
    <w:p>
      <w:pPr>
        <w:snapToGrid w:val="0"/>
        <w:spacing w:line="360" w:lineRule="auto"/>
        <w:ind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rPr>
        <w:t>学位点导师主要方向与团队：（1）区域经济学方向：丁建军、冷志明、商兆奎、李峰、吴雄周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杨正华</w:t>
      </w: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）产业经济学方向：蒋辉、李湘玲、杨宗锦、叶明霞、鲁明勇。（</w:t>
      </w:r>
      <w:r>
        <w:rPr>
          <w:rFonts w:ascii="仿宋" w:hAnsi="仿宋" w:eastAsia="仿宋"/>
          <w:spacing w:val="-7"/>
          <w:w w:val="110"/>
          <w:sz w:val="28"/>
          <w:szCs w:val="28"/>
        </w:rPr>
        <w:t>3</w:t>
      </w:r>
      <w:r>
        <w:rPr>
          <w:rFonts w:hint="eastAsia" w:ascii="仿宋" w:hAnsi="仿宋" w:eastAsia="仿宋"/>
          <w:spacing w:val="-7"/>
          <w:w w:val="110"/>
          <w:sz w:val="28"/>
          <w:szCs w:val="28"/>
        </w:rPr>
        <w:t>）</w:t>
      </w:r>
      <w:r>
        <w:rPr>
          <w:rFonts w:hint="eastAsia" w:ascii="仿宋" w:hAnsi="仿宋" w:eastAsia="仿宋"/>
          <w:spacing w:val="-7"/>
          <w:w w:val="110"/>
          <w:sz w:val="28"/>
          <w:szCs w:val="28"/>
          <w:lang w:val="en-US" w:eastAsia="zh-CN"/>
        </w:rPr>
        <w:t>金融学方向：彭耿、黄利文、于正东、钟高峥。</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4</w:t>
      </w:r>
      <w:r>
        <w:rPr>
          <w:rFonts w:hint="eastAsia" w:ascii="仿宋" w:hAnsi="仿宋" w:eastAsia="仿宋"/>
          <w:spacing w:val="-7"/>
          <w:w w:val="110"/>
          <w:sz w:val="28"/>
          <w:szCs w:val="28"/>
          <w:lang w:eastAsia="zh-CN"/>
        </w:rPr>
        <w:t>）国民经济学方向：李琼、邓永勤、游新彩、殷强。</w:t>
      </w:r>
    </w:p>
    <w:p>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同时，学位点坚持已有导师的培养与培训，共举办了以“正师德师风”及“提高导师业务水平”等为主题的导师培训活动多场。所有新聘导师均实现了培训上岗，老导师被聘湖南省普通高校本科教育指导委员会委员2人，本年度</w:t>
      </w:r>
      <w:r>
        <w:rPr>
          <w:rFonts w:hint="eastAsia" w:ascii="仿宋" w:hAnsi="仿宋" w:eastAsia="仿宋"/>
          <w:color w:val="auto"/>
          <w:spacing w:val="-7"/>
          <w:w w:val="110"/>
          <w:sz w:val="28"/>
          <w:szCs w:val="28"/>
        </w:rPr>
        <w:t>获评湖南省高校黄大年式教学团队1个；</w:t>
      </w:r>
      <w:r>
        <w:rPr>
          <w:rFonts w:hint="eastAsia" w:ascii="仿宋" w:hAnsi="仿宋" w:eastAsia="仿宋"/>
          <w:color w:val="auto"/>
          <w:spacing w:val="-7"/>
          <w:w w:val="110"/>
          <w:sz w:val="28"/>
          <w:szCs w:val="28"/>
          <w:lang w:val="en-US" w:eastAsia="zh-CN"/>
        </w:rPr>
        <w:t>专任教师中有两位受国家留学基金委公派留学项目资助分别赴日本亚洲成长研究所和日本九州大学从事博士后研究。同时</w:t>
      </w:r>
      <w:r>
        <w:rPr>
          <w:rFonts w:hint="eastAsia" w:ascii="仿宋" w:hAnsi="仿宋" w:eastAsia="仿宋"/>
          <w:color w:val="auto"/>
          <w:spacing w:val="-7"/>
          <w:w w:val="110"/>
          <w:sz w:val="28"/>
          <w:szCs w:val="28"/>
        </w:rPr>
        <w:t>积极联系对接英国约克大学（世界排名第150名）管理学院供应链管理首席教授Jeff Jia教授申报长江学者讲座教授，并特邀其成为</w:t>
      </w:r>
      <w:r>
        <w:rPr>
          <w:rFonts w:hint="eastAsia" w:ascii="仿宋" w:hAnsi="仿宋" w:eastAsia="仿宋"/>
          <w:color w:val="auto"/>
          <w:spacing w:val="-7"/>
          <w:w w:val="110"/>
          <w:sz w:val="28"/>
          <w:szCs w:val="28"/>
          <w:lang w:val="en-US" w:eastAsia="zh-CN"/>
        </w:rPr>
        <w:t>学位点</w:t>
      </w:r>
      <w:r>
        <w:rPr>
          <w:rFonts w:hint="eastAsia" w:ascii="仿宋" w:hAnsi="仿宋" w:eastAsia="仿宋"/>
          <w:color w:val="auto"/>
          <w:spacing w:val="-7"/>
          <w:w w:val="110"/>
          <w:sz w:val="28"/>
          <w:szCs w:val="28"/>
        </w:rPr>
        <w:t>特聘教授</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组织工作专班到湖南省和周边贵州、四川、重庆等招收经管类博士的兄弟院校就引进博士进行走访宣传，积极参加全国各高校举办的博士专场招聘会引进高层次人才。</w:t>
      </w:r>
    </w:p>
    <w:p>
      <w:pPr>
        <w:pStyle w:val="4"/>
        <w:snapToGrid w:val="0"/>
        <w:spacing w:before="0" w:after="0" w:line="360" w:lineRule="auto"/>
        <w:ind w:firstLine="618" w:firstLineChars="200"/>
        <w:rPr>
          <w:rFonts w:hint="eastAsia" w:ascii="仿宋" w:hAnsi="仿宋" w:eastAsia="仿宋"/>
          <w:w w:val="110"/>
          <w:sz w:val="28"/>
          <w:szCs w:val="28"/>
        </w:rPr>
      </w:pPr>
      <w:bookmarkStart w:id="22" w:name="_Toc92457821"/>
      <w:r>
        <w:rPr>
          <w:rFonts w:ascii="仿宋" w:hAnsi="仿宋" w:eastAsia="仿宋"/>
          <w:w w:val="110"/>
          <w:sz w:val="28"/>
          <w:szCs w:val="28"/>
        </w:rPr>
        <w:t xml:space="preserve">3. </w:t>
      </w:r>
      <w:r>
        <w:rPr>
          <w:rFonts w:hint="eastAsia" w:ascii="仿宋" w:hAnsi="仿宋" w:eastAsia="仿宋"/>
          <w:sz w:val="28"/>
          <w:szCs w:val="28"/>
        </w:rPr>
        <w:t>科学研究</w:t>
      </w:r>
      <w:r>
        <w:rPr>
          <w:rFonts w:hint="eastAsia" w:ascii="仿宋" w:hAnsi="仿宋" w:eastAsia="仿宋"/>
          <w:w w:val="110"/>
          <w:sz w:val="28"/>
          <w:szCs w:val="28"/>
        </w:rPr>
        <w:t>情况</w:t>
      </w:r>
      <w:bookmarkEnd w:id="22"/>
    </w:p>
    <w:p>
      <w:pPr>
        <w:ind w:firstLine="560" w:firstLineChars="200"/>
        <w:rPr>
          <w:rFonts w:hint="eastAsia"/>
        </w:rPr>
      </w:pPr>
      <w:r>
        <w:rPr>
          <w:rFonts w:hint="eastAsia" w:ascii="仿宋" w:hAnsi="仿宋" w:eastAsia="仿宋" w:cs="仿宋"/>
          <w:sz w:val="28"/>
          <w:szCs w:val="28"/>
        </w:rPr>
        <w:t>本学位点研究生在完成学位授予的论文要求的同时，积极开展学术论文写作与发表，2023年度本学位点研究生共发表论文19篇，其中CSSCI文章共4篇，分别发表于地理研究、吉首大学学报(社会科学版)、地理科学进展、自然资源学报期刊，平均影响因子达到了5以上，在国内相关学术领域形成了重要影响，也提升了学位点研究生学术能力（表4）。</w:t>
      </w:r>
    </w:p>
    <w:tbl>
      <w:tblPr>
        <w:tblStyle w:val="15"/>
        <w:tblpPr w:leftFromText="180" w:rightFromText="180" w:vertAnchor="text" w:horzAnchor="page" w:tblpXSpec="center" w:tblpY="5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329"/>
        <w:gridCol w:w="201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93" w:type="dxa"/>
            <w:gridSpan w:val="4"/>
            <w:tcBorders>
              <w:top w:val="nil"/>
              <w:left w:val="nil"/>
              <w:right w:val="nil"/>
            </w:tcBorders>
            <w:vAlign w:val="center"/>
          </w:tcPr>
          <w:p>
            <w:pPr>
              <w:pStyle w:val="1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spacing w:val="-7"/>
                <w:w w:val="110"/>
                <w:sz w:val="24"/>
                <w:szCs w:val="24"/>
                <w:lang w:val="en-US" w:eastAsia="zh-CN"/>
              </w:rPr>
              <w:t>表4  2023年论文发表统计表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作者</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论文名称</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期刊名称</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王淀坤</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长三角地区专精特新“小巨人”企业空间分布及影响因素研究</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地理研究</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王淀坤</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城镇化驱动乡村重构的机制分析——以江浙地区为例</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新疆农垦经济</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王淀坤</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农旅融合驱动乡村产业韧性提升研究——以湖南双峰县基地农旅为例</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南方农机</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王淀坤</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“撤县设区”能提升区域全要素生产率吗?——来自2000—2018年市域尺度的经验证据</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吉首大学学报(社会科学版)</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万航</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中国数字乡村发展的空间特征及其农户增收效应——基于县域数字乡村指数与CHFS的实证分析</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自然资源学报</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胡定国</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长三角地区专精特新企业空间分布及影响因素的尺度效应——基于缓冲区与MGWR的分析</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地理科学进展</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程慧慧</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数字经济助力农业现代化发展现状及对策</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科技和产业</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程慧慧</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数字经济赋能农业现代化影响的效应分析</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云南农业大学学报(社会科学)</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丁楠</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乡村振兴背景下乡村文旅融合发展路径探究-以苏州市树山生态村为例</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旅游纵览</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郭慧</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1"/>
                <w:szCs w:val="21"/>
                <w:u w:val="none"/>
                <w:lang w:val="en-US" w:eastAsia="zh-CN" w:bidi="ar"/>
              </w:rPr>
              <w:t>湖南省农业高质量发展水平测度和协调性研究</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云南农业大学学报</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郭慧</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1"/>
                <w:szCs w:val="21"/>
                <w:u w:val="none"/>
                <w:lang w:val="en-US" w:eastAsia="zh-CN" w:bidi="ar"/>
              </w:rPr>
              <w:t>农业经济高质量发展水平测度及时空格局演变研究——以武陵山区为例</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西部经济管理论坛</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李莉玲</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民族地区产业高质量发展测度与分析</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边疆经济与文化</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李莉玲</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民族地区产业高质量发展水平测度及驱动因素分析</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科技创业月刊</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李玲</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金融生态多样性、技术创新与产业结构升级</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浙江金融</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李玲</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金融生态多样性、市场化程度与制造业集聚</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区域金融研究</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夏涛</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民族地区社会保障与经济发展耦合协调及其影响因素</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内蒙古科技与经济</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李怡环</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湖南省养老保障发展水平研究</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合作经济与科技</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李鑫雯</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湘西地区数字经济与生态农业的协调发展测度研究</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中南农业科技</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李鑫雯</w:t>
            </w:r>
          </w:p>
        </w:tc>
        <w:tc>
          <w:tcPr>
            <w:tcW w:w="432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数字赋能生态农业的耦合协调分析-以长沙市为例</w:t>
            </w:r>
          </w:p>
        </w:tc>
        <w:tc>
          <w:tcPr>
            <w:tcW w:w="20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农业与技术</w:t>
            </w:r>
          </w:p>
        </w:tc>
        <w:tc>
          <w:tcPr>
            <w:tcW w:w="103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2023.10</w:t>
            </w:r>
          </w:p>
        </w:tc>
      </w:tr>
    </w:tbl>
    <w:p>
      <w:pPr>
        <w:snapToGrid w:val="0"/>
        <w:spacing w:line="360" w:lineRule="auto"/>
        <w:ind w:firstLine="588" w:firstLineChars="200"/>
        <w:rPr>
          <w:rFonts w:hint="eastAsia" w:ascii="仿宋" w:hAnsi="仿宋" w:eastAsia="仿宋"/>
          <w:spacing w:val="-7"/>
          <w:w w:val="110"/>
          <w:sz w:val="28"/>
          <w:szCs w:val="28"/>
        </w:rPr>
      </w:pPr>
    </w:p>
    <w:p>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积极组织</w:t>
      </w:r>
      <w:r>
        <w:rPr>
          <w:rFonts w:hint="eastAsia" w:ascii="仿宋" w:hAnsi="仿宋" w:eastAsia="仿宋"/>
          <w:spacing w:val="-7"/>
          <w:w w:val="110"/>
          <w:sz w:val="28"/>
          <w:szCs w:val="28"/>
          <w:lang w:val="en-US" w:eastAsia="zh-CN"/>
        </w:rPr>
        <w:t>研究生教师</w:t>
      </w:r>
      <w:r>
        <w:rPr>
          <w:rFonts w:hint="eastAsia" w:ascii="仿宋" w:hAnsi="仿宋" w:eastAsia="仿宋"/>
          <w:spacing w:val="-7"/>
          <w:w w:val="110"/>
          <w:sz w:val="28"/>
          <w:szCs w:val="28"/>
        </w:rPr>
        <w:t>申报学位与研究生教学改革研究项目，</w:t>
      </w:r>
      <w:r>
        <w:rPr>
          <w:rFonts w:hint="eastAsia" w:ascii="仿宋" w:hAnsi="仿宋" w:eastAsia="仿宋"/>
          <w:color w:val="auto"/>
          <w:spacing w:val="-7"/>
          <w:w w:val="110"/>
          <w:sz w:val="28"/>
          <w:szCs w:val="28"/>
          <w:lang w:val="en-US" w:eastAsia="zh-CN"/>
        </w:rPr>
        <w:t>其中获湖南省研究生教改课题1项、湖南省研究生优秀教学案例2项，湖南省优秀教学案例1项、吉首大学优秀教学案例1项；与中山大学管理学院联合申报的教学成果奖获国家级教学成果奖二等奖；</w:t>
      </w:r>
      <w:r>
        <w:rPr>
          <w:rFonts w:hint="eastAsia" w:ascii="仿宋" w:hAnsi="仿宋" w:eastAsia="仿宋"/>
          <w:spacing w:val="-7"/>
          <w:w w:val="110"/>
          <w:sz w:val="28"/>
          <w:szCs w:val="28"/>
        </w:rPr>
        <w:t>经学校学术委员会评审，学位点“村镇银行发展与治理创新研究生培养创新基地”顺利通过年度检查。</w:t>
      </w:r>
    </w:p>
    <w:p>
      <w:pPr>
        <w:snapToGrid w:val="0"/>
        <w:spacing w:line="360" w:lineRule="auto"/>
        <w:ind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冷志明教授为第一通讯作者的研究论文《A Multifaceted Poverty-Reduction Program Has Economic and Behavioral Consequences》在国际顶级期刊PNAS（美国国家科学院院刊）上发表</w:t>
      </w:r>
      <w:r>
        <w:rPr>
          <w:rFonts w:hint="eastAsia" w:ascii="仿宋" w:hAnsi="仿宋" w:eastAsia="仿宋"/>
          <w:spacing w:val="-7"/>
          <w:w w:val="110"/>
          <w:sz w:val="28"/>
          <w:szCs w:val="28"/>
          <w:lang w:eastAsia="zh-CN"/>
        </w:rPr>
        <w:t>。教师团队主编的第五本连片特困区蓝皮书《中国连片特困区发展报告》（2020—2021）中收录的研究报告《十年巨变：连片特困区脱贫攻坚回顾与乡村振兴展望》获评全国第十三届“优秀皮书报告奖”二等奖。</w:t>
      </w:r>
    </w:p>
    <w:p>
      <w:pPr>
        <w:snapToGrid w:val="0"/>
        <w:spacing w:line="360" w:lineRule="auto"/>
        <w:ind w:firstLine="588" w:firstLineChars="200"/>
        <w:rPr>
          <w:rFonts w:hint="eastAsia" w:ascii="仿宋" w:hAnsi="仿宋" w:eastAsia="仿宋" w:cs="Times New Roman"/>
          <w:spacing w:val="-7"/>
          <w:w w:val="110"/>
          <w:sz w:val="28"/>
          <w:szCs w:val="28"/>
          <w:lang w:eastAsia="zh-CN"/>
        </w:rPr>
      </w:pPr>
      <w:r>
        <w:rPr>
          <w:rFonts w:hint="eastAsia" w:ascii="仿宋" w:hAnsi="仿宋" w:eastAsia="仿宋" w:cs="Times New Roman"/>
          <w:spacing w:val="-7"/>
          <w:w w:val="110"/>
          <w:sz w:val="28"/>
          <w:szCs w:val="28"/>
          <w:lang w:val="en-US" w:eastAsia="zh-CN"/>
        </w:rPr>
        <w:t>本年度，学位点教师积极参与了学院主办或承办的各级学术会议，提升教师团队科学研究水平。其中包含</w:t>
      </w:r>
      <w:r>
        <w:rPr>
          <w:rFonts w:hint="eastAsia" w:ascii="仿宋" w:hAnsi="仿宋" w:eastAsia="仿宋" w:cs="Times New Roman"/>
          <w:spacing w:val="-7"/>
          <w:w w:val="110"/>
          <w:sz w:val="28"/>
          <w:szCs w:val="28"/>
          <w:lang w:eastAsia="zh-CN"/>
        </w:rPr>
        <w:t>学院与中国扶贫研究院、中国乡村振兴与发展研究中心、北京师范大学经济与资源管理研究院联合主办</w:t>
      </w:r>
      <w:r>
        <w:rPr>
          <w:rFonts w:hint="eastAsia" w:ascii="仿宋" w:hAnsi="仿宋" w:eastAsia="仿宋" w:cs="Times New Roman"/>
          <w:spacing w:val="-7"/>
          <w:w w:val="110"/>
          <w:sz w:val="28"/>
          <w:szCs w:val="28"/>
          <w:lang w:val="en-US" w:eastAsia="zh-CN"/>
        </w:rPr>
        <w:t>的</w:t>
      </w:r>
      <w:r>
        <w:rPr>
          <w:rFonts w:hint="eastAsia" w:ascii="仿宋" w:hAnsi="仿宋" w:eastAsia="仿宋" w:cs="Times New Roman"/>
          <w:spacing w:val="-7"/>
          <w:w w:val="110"/>
          <w:sz w:val="28"/>
          <w:szCs w:val="28"/>
          <w:lang w:eastAsia="zh-CN"/>
        </w:rPr>
        <w:t>“乡村振兴与绿色发展专题研讨暨智库建设经验交流会”</w:t>
      </w:r>
      <w:r>
        <w:rPr>
          <w:rFonts w:hint="eastAsia" w:ascii="仿宋" w:hAnsi="仿宋" w:eastAsia="仿宋" w:cs="Times New Roman"/>
          <w:spacing w:val="-7"/>
          <w:w w:val="110"/>
          <w:sz w:val="28"/>
          <w:szCs w:val="28"/>
          <w:lang w:val="en-US" w:eastAsia="zh-CN"/>
        </w:rPr>
        <w:t>、</w:t>
      </w:r>
      <w:r>
        <w:rPr>
          <w:rFonts w:hint="eastAsia" w:ascii="仿宋" w:hAnsi="仿宋" w:eastAsia="仿宋" w:cs="Times New Roman"/>
          <w:spacing w:val="-7"/>
          <w:w w:val="110"/>
          <w:sz w:val="28"/>
          <w:szCs w:val="28"/>
          <w:lang w:eastAsia="zh-CN"/>
        </w:rPr>
        <w:t>学院与中国自然资源学会土地资源研究专业委员会、湖南师范大学主办等多家单位联合承办</w:t>
      </w:r>
      <w:r>
        <w:rPr>
          <w:rFonts w:hint="eastAsia" w:ascii="仿宋" w:hAnsi="仿宋" w:eastAsia="仿宋" w:cs="Times New Roman"/>
          <w:spacing w:val="-7"/>
          <w:w w:val="110"/>
          <w:sz w:val="28"/>
          <w:szCs w:val="28"/>
          <w:lang w:val="en-US" w:eastAsia="zh-CN"/>
        </w:rPr>
        <w:t>的</w:t>
      </w:r>
      <w:r>
        <w:rPr>
          <w:rFonts w:hint="eastAsia" w:ascii="仿宋" w:hAnsi="仿宋" w:eastAsia="仿宋" w:cs="Times New Roman"/>
          <w:spacing w:val="-7"/>
          <w:w w:val="110"/>
          <w:sz w:val="28"/>
          <w:szCs w:val="28"/>
          <w:lang w:eastAsia="zh-CN"/>
        </w:rPr>
        <w:t>“新时代三农问题与乡村振兴”专题论坛；学院与中国会计学会、全国会计专业学位研究生教育指导委员会联合举办</w:t>
      </w:r>
      <w:r>
        <w:rPr>
          <w:rFonts w:hint="eastAsia" w:ascii="仿宋" w:hAnsi="仿宋" w:eastAsia="仿宋" w:cs="Times New Roman"/>
          <w:spacing w:val="-7"/>
          <w:w w:val="110"/>
          <w:sz w:val="28"/>
          <w:szCs w:val="28"/>
          <w:lang w:val="en-US" w:eastAsia="zh-CN"/>
        </w:rPr>
        <w:t>的</w:t>
      </w:r>
      <w:r>
        <w:rPr>
          <w:rFonts w:hint="eastAsia" w:ascii="仿宋" w:hAnsi="仿宋" w:eastAsia="仿宋" w:cs="Times New Roman"/>
          <w:spacing w:val="-7"/>
          <w:w w:val="110"/>
          <w:sz w:val="28"/>
          <w:szCs w:val="28"/>
          <w:lang w:eastAsia="zh-CN"/>
        </w:rPr>
        <w:t>“谭劲松教授会计名家公益大讲堂”活动。</w:t>
      </w:r>
      <w:r>
        <w:rPr>
          <w:rFonts w:hint="eastAsia" w:ascii="仿宋" w:hAnsi="仿宋" w:eastAsia="仿宋" w:cs="Times New Roman"/>
          <w:spacing w:val="-7"/>
          <w:w w:val="110"/>
          <w:sz w:val="28"/>
          <w:szCs w:val="28"/>
          <w:lang w:val="en-US" w:eastAsia="zh-CN"/>
        </w:rPr>
        <w:t>并</w:t>
      </w:r>
      <w:r>
        <w:rPr>
          <w:rFonts w:hint="eastAsia" w:ascii="仿宋" w:hAnsi="仿宋" w:eastAsia="仿宋" w:cs="Times New Roman"/>
          <w:spacing w:val="-7"/>
          <w:w w:val="110"/>
          <w:sz w:val="28"/>
          <w:szCs w:val="28"/>
          <w:lang w:eastAsia="zh-CN"/>
        </w:rPr>
        <w:t>邀请Jeff Jia、谭劲松、付春光、李晖等国内外知名专家和杨少良等企业家以及周扬、廖凯诚、刘胜、刘伟等优秀校友来学院讲学。</w:t>
      </w:r>
    </w:p>
    <w:p>
      <w:pPr>
        <w:ind w:firstLine="618" w:firstLineChars="200"/>
        <w:rPr>
          <w:rFonts w:hint="eastAsia" w:ascii="仿宋" w:hAnsi="仿宋" w:eastAsia="仿宋" w:cs="Times New Roman"/>
          <w:b/>
          <w:bCs/>
          <w:w w:val="110"/>
          <w:kern w:val="2"/>
          <w:sz w:val="28"/>
          <w:szCs w:val="28"/>
          <w:lang w:val="en-US" w:eastAsia="zh-CN" w:bidi="ar-SA"/>
        </w:rPr>
      </w:pPr>
      <w:bookmarkStart w:id="23" w:name="_Toc92457822"/>
      <w:r>
        <w:rPr>
          <w:rFonts w:hint="eastAsia" w:ascii="仿宋" w:hAnsi="仿宋" w:eastAsia="仿宋" w:cs="Times New Roman"/>
          <w:b/>
          <w:bCs/>
          <w:w w:val="110"/>
          <w:kern w:val="2"/>
          <w:sz w:val="28"/>
          <w:szCs w:val="28"/>
          <w:lang w:val="en-US" w:eastAsia="zh-CN" w:bidi="ar-SA"/>
        </w:rPr>
        <w:t>4. 传承创新优秀学科文化情况</w:t>
      </w:r>
      <w:bookmarkEnd w:id="23"/>
    </w:p>
    <w:p>
      <w:pPr>
        <w:snapToGrid w:val="0"/>
        <w:spacing w:line="360" w:lineRule="auto"/>
        <w:ind w:firstLine="588" w:firstLineChars="200"/>
        <w:rPr>
          <w:rFonts w:hint="eastAsia" w:ascii="仿宋" w:hAnsi="仿宋" w:eastAsia="仿宋" w:cs="Times New Roman"/>
          <w:spacing w:val="-7"/>
          <w:w w:val="110"/>
          <w:sz w:val="28"/>
          <w:szCs w:val="28"/>
          <w:lang w:val="en-US" w:eastAsia="zh-CN"/>
        </w:rPr>
      </w:pPr>
      <w:bookmarkStart w:id="24" w:name="_Toc92457823"/>
      <w:r>
        <w:rPr>
          <w:rFonts w:hint="eastAsia" w:ascii="仿宋" w:hAnsi="仿宋" w:eastAsia="仿宋" w:cs="Times New Roman"/>
          <w:spacing w:val="-7"/>
          <w:w w:val="110"/>
          <w:sz w:val="28"/>
          <w:szCs w:val="28"/>
          <w:lang w:val="en-US" w:eastAsia="zh-CN"/>
        </w:rPr>
        <w:t>一是紧密衔接优秀校友，弘扬优秀传统，加强精神塑造。本年度，学院邀请了优秀校友、中国共产党历史展览馆“金牌讲解员”江扬子返校宣讲党的二十大精神；邀请了周扬、廖凯诚、刘胜、刘伟等优秀校友来学院讲学并对学院学科建设和科研工作进行指导；成功举行2023年度校友大会，组建了深圳校友会，参加了西安校友会交流活动，并组织了“与校友面对面”座谈、“商学院高质量发展校友座谈会”“就业与职业发展”论坛暨学院校友首次线下联谊活动等多场次学科优秀传统文化传承交流会。</w:t>
      </w:r>
    </w:p>
    <w:p>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二是坚持以人为本，着力构建尊重、关心和支持教师发展、成长的文化模式，旨在促进教师全面发展，使之具有共同的理想信念、道德素质与科学文化素养，更好地传播优秀学科文化。本年度共组织召开了六批次教师座谈会，学院领导与每一位教职工面对面交流，为每一位老师量身定制教师个人成长规划。</w:t>
      </w:r>
    </w:p>
    <w:p>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三是夯实载体手段，巩固阵地建设，不断提升校园环境的文化含量与品位。本年度，共举办了演讲比赛、专业竞赛、研究生英语翻译大赛、研究生辩论赛、简历制作大赛、文明校园建设等系列活动若干场次，帮助学生健康成长成才。</w:t>
      </w:r>
    </w:p>
    <w:p>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四是多渠道集聚社会文化艺术力量，使大学文化内涵在深度融入国家文化繁荣发展的大环境中，不断得以传承、深化、丰富和发展。本年度，学院院团委荣获了湖南省“五四红旗团委”光荣称号；学位点团队高质量完成了与中国证券业协会、湖南省证券业协会签订共建投资者教育基地及助学协议，投教基地已建成并投入使用，且与湖南省证券业协会联合举办了2023证券行业专场招聘会暨校企合作洽谈会。</w:t>
      </w:r>
      <w:bookmarkStart w:id="25" w:name="_Hlk92130173"/>
    </w:p>
    <w:bookmarkEnd w:id="25"/>
    <w:p>
      <w:pPr>
        <w:pStyle w:val="4"/>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5.</w:t>
      </w:r>
      <w:r>
        <w:rPr>
          <w:rFonts w:hint="eastAsia" w:ascii="仿宋" w:hAnsi="仿宋" w:eastAsia="仿宋"/>
          <w:w w:val="110"/>
          <w:sz w:val="28"/>
          <w:szCs w:val="28"/>
        </w:rPr>
        <w:t>国际交流合作等的改革创新情况</w:t>
      </w:r>
      <w:bookmarkEnd w:id="24"/>
    </w:p>
    <w:p>
      <w:pPr>
        <w:snapToGrid w:val="0"/>
        <w:spacing w:line="360" w:lineRule="auto"/>
        <w:ind w:firstLine="435"/>
        <w:rPr>
          <w:rFonts w:hint="eastAsia" w:ascii="仿宋" w:hAnsi="仿宋" w:eastAsia="仿宋"/>
          <w:spacing w:val="-7"/>
          <w:w w:val="110"/>
          <w:sz w:val="28"/>
          <w:szCs w:val="28"/>
        </w:rPr>
      </w:pPr>
      <w:r>
        <w:rPr>
          <w:rFonts w:hint="eastAsia" w:ascii="仿宋" w:hAnsi="仿宋" w:eastAsia="仿宋"/>
          <w:spacing w:val="-7"/>
          <w:w w:val="110"/>
          <w:sz w:val="28"/>
          <w:szCs w:val="28"/>
        </w:rPr>
        <w:t>英国约克大学（世界排名第150名）管理学院供应链管理首席教授、欧洲运营管理学会执委会执行委员、3本国际重要期刊副主编Jeff Jia教授为学院部分教师、研究生作主题为《The impact of governmental COVID-19 measures on manufacturersstock arketvaluations: The role oflabor intensity and operational slack》的学术讲座；</w:t>
      </w:r>
    </w:p>
    <w:p>
      <w:pPr>
        <w:snapToGrid w:val="0"/>
        <w:spacing w:line="360" w:lineRule="auto"/>
        <w:ind w:firstLine="435"/>
        <w:rPr>
          <w:rFonts w:hint="eastAsia" w:ascii="仿宋" w:hAnsi="仿宋" w:eastAsia="仿宋"/>
          <w:spacing w:val="-7"/>
          <w:w w:val="110"/>
          <w:sz w:val="28"/>
          <w:szCs w:val="28"/>
        </w:rPr>
      </w:pP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与日本AGI（亚洲成长研究所）联合举办Joint Online Seminar on Sustainable Development and Rural Revitalization in Asia: China and Ja pan Colla boration（亚洲可持续发展和乡村振兴中日联合在线研讨会），来自日本、美国和国内等多家高校和研究机构的学者和研究生参加研讨会。</w:t>
      </w:r>
    </w:p>
    <w:p>
      <w:pPr>
        <w:snapToGrid w:val="0"/>
        <w:spacing w:line="360" w:lineRule="auto"/>
        <w:ind w:firstLine="435"/>
        <w:rPr>
          <w:rFonts w:hint="eastAsia" w:ascii="仿宋" w:hAnsi="仿宋" w:eastAsia="仿宋"/>
          <w:spacing w:val="-7"/>
          <w:w w:val="110"/>
          <w:sz w:val="28"/>
          <w:szCs w:val="28"/>
        </w:rPr>
      </w:pP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殷强、孙爱淑教师受国家留学基金委公派留学项目资助分别赴日本亚洲成长研究所和日本九州大学从事博士后研究。</w:t>
      </w:r>
      <w:bookmarkStart w:id="26" w:name="_Toc92457824"/>
      <w:bookmarkStart w:id="27" w:name="_Hlk92203522"/>
    </w:p>
    <w:p>
      <w:pPr>
        <w:pStyle w:val="3"/>
        <w:snapToGrid w:val="0"/>
        <w:spacing w:before="0" w:after="0" w:line="360" w:lineRule="auto"/>
        <w:rPr>
          <w:rFonts w:hint="eastAsia" w:ascii="黑体" w:hAnsi="黑体" w:eastAsia="黑体"/>
          <w:b w:val="0"/>
          <w:bCs w:val="0"/>
        </w:rPr>
      </w:pPr>
      <w:r>
        <w:rPr>
          <w:rFonts w:hint="eastAsia" w:ascii="黑体" w:hAnsi="黑体" w:eastAsia="黑体"/>
          <w:b w:val="0"/>
          <w:bCs w:val="0"/>
        </w:rPr>
        <w:t>五、教育质量评估与分析</w:t>
      </w:r>
      <w:bookmarkEnd w:id="26"/>
      <w:bookmarkEnd w:id="27"/>
      <w:bookmarkStart w:id="28" w:name="_Toc92457825"/>
    </w:p>
    <w:p>
      <w:pPr>
        <w:snapToGrid w:val="0"/>
        <w:spacing w:line="360" w:lineRule="auto"/>
        <w:ind w:firstLine="435"/>
        <w:rPr>
          <w:rFonts w:hint="eastAsia" w:ascii="仿宋" w:hAnsi="仿宋" w:eastAsia="仿宋"/>
          <w:b/>
          <w:bCs/>
          <w:w w:val="110"/>
          <w:sz w:val="28"/>
          <w:szCs w:val="28"/>
        </w:rPr>
      </w:pPr>
      <w:r>
        <w:rPr>
          <w:rFonts w:hint="eastAsia" w:ascii="仿宋" w:hAnsi="仿宋" w:eastAsia="仿宋"/>
          <w:b/>
          <w:bCs/>
          <w:w w:val="110"/>
          <w:sz w:val="28"/>
          <w:szCs w:val="28"/>
        </w:rPr>
        <w:t>1.学位授权点自我评估进展及问题分析</w:t>
      </w:r>
      <w:bookmarkEnd w:id="28"/>
      <w:bookmarkStart w:id="29" w:name="_Toc92457826"/>
    </w:p>
    <w:p>
      <w:pPr>
        <w:snapToGrid w:val="0"/>
        <w:spacing w:line="360" w:lineRule="auto"/>
        <w:ind w:firstLine="435"/>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（1）引进和稳定高水平学科带头人、中青年学术骨干比较困难。学校位于湘鄂渝黔四省交汇处的老少边山穷地区，区位劣势和经济弱势使得引进和稳定高水平人才较为困难。</w:t>
      </w:r>
      <w:bookmarkStart w:id="30" w:name="_Hlk92374451"/>
    </w:p>
    <w:p>
      <w:pPr>
        <w:snapToGrid w:val="0"/>
        <w:spacing w:line="360" w:lineRule="auto"/>
        <w:ind w:firstLine="435"/>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学位点导师的科研创新能力还有待进一步提升。近年来，由于高档次论文的发表难度持续加大，学位点导师和研究生发表高质量、高级别论文的数量有一定的下降，导师团队建设相对滞后于学院发展实际，制约了导师对研究生的指导，教学科研成果有待进一步提升。</w:t>
      </w:r>
      <w:bookmarkEnd w:id="30"/>
    </w:p>
    <w:p>
      <w:pPr>
        <w:snapToGrid w:val="0"/>
        <w:spacing w:line="360" w:lineRule="auto"/>
        <w:ind w:firstLine="435"/>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师生参加高水平国际学术会议相对较少。学校所在地吉首市交通相对闭塞，“走出去”和“请进来”相对不便且成本较大，导致师生参加高水平国际国内学术会议，学科举办各类学术会议的次数都相对较少。</w:t>
      </w:r>
    </w:p>
    <w:p>
      <w:pPr>
        <w:pStyle w:val="4"/>
        <w:snapToGrid w:val="0"/>
        <w:spacing w:before="0" w:after="0"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（4）学校外文图书资料相对不足，缺乏商学数据库。尽管本学科现有专业相关图书资料5 万余册，专业相关期刊70 余种，但外文图书资料相对不足，外文期刊种类偏少，使得文献资料查询存在一定困难。</w:t>
      </w:r>
    </w:p>
    <w:p>
      <w:pPr>
        <w:pStyle w:val="4"/>
        <w:snapToGrid w:val="0"/>
        <w:spacing w:before="0" w:after="0" w:line="360" w:lineRule="auto"/>
        <w:ind w:firstLine="618" w:firstLineChars="200"/>
        <w:rPr>
          <w:rFonts w:ascii="仿宋" w:hAnsi="仿宋" w:eastAsia="仿宋" w:cs="宋体"/>
          <w:b w:val="0"/>
          <w:bCs w:val="0"/>
          <w:w w:val="115"/>
          <w:sz w:val="28"/>
          <w:szCs w:val="28"/>
        </w:rPr>
      </w:pPr>
      <w:r>
        <w:rPr>
          <w:rFonts w:hint="eastAsia" w:ascii="仿宋" w:hAnsi="仿宋" w:eastAsia="仿宋"/>
          <w:w w:val="110"/>
          <w:sz w:val="28"/>
          <w:szCs w:val="28"/>
        </w:rPr>
        <w:t>2.学位论文抽检情况及问题分析</w:t>
      </w:r>
      <w:bookmarkEnd w:id="29"/>
    </w:p>
    <w:p>
      <w:pPr>
        <w:snapToGrid w:val="0"/>
        <w:spacing w:line="360" w:lineRule="auto"/>
        <w:ind w:firstLine="590"/>
        <w:rPr>
          <w:rFonts w:ascii="仿宋" w:hAnsi="仿宋" w:eastAsia="仿宋"/>
        </w:rPr>
      </w:pPr>
      <w:r>
        <w:rPr>
          <w:rFonts w:hint="eastAsia" w:ascii="仿宋" w:hAnsi="仿宋" w:eastAsia="仿宋" w:cs="宋体"/>
          <w:sz w:val="28"/>
          <w:szCs w:val="28"/>
        </w:rPr>
        <w:t>学位点学位论文的全程实行“源头控制、过程监督、出口从严”策略，实施“审题—开题—中期检查—校内专家评阅—预答辩—校外盲审—答辩”等环节，对研究生学位论文实行严格的“双盲”</w:t>
      </w:r>
      <w:r>
        <w:rPr>
          <w:rFonts w:hint="eastAsia" w:ascii="仿宋" w:hAnsi="仿宋" w:eastAsia="仿宋" w:cs="宋体"/>
          <w:sz w:val="28"/>
          <w:szCs w:val="28"/>
          <w:lang w:val="en-US" w:eastAsia="zh-CN"/>
        </w:rPr>
        <w:t>评审</w:t>
      </w:r>
      <w:r>
        <w:rPr>
          <w:rFonts w:hint="eastAsia" w:ascii="仿宋" w:hAnsi="仿宋" w:eastAsia="仿宋" w:cs="宋体"/>
          <w:sz w:val="28"/>
          <w:szCs w:val="28"/>
        </w:rPr>
        <w:t>制度，对盲审意见为“不同意答辩”的不予答辩。论文答辩邀请校外相关研究领域专家主持，对答辩</w:t>
      </w:r>
      <w:r>
        <w:rPr>
          <w:rFonts w:hint="eastAsia" w:ascii="仿宋" w:hAnsi="仿宋" w:eastAsia="仿宋" w:cs="宋体"/>
          <w:sz w:val="28"/>
          <w:szCs w:val="28"/>
          <w:lang w:val="en-US" w:eastAsia="zh-CN"/>
        </w:rPr>
        <w:t>过程中问题较大的论文</w:t>
      </w:r>
      <w:r>
        <w:rPr>
          <w:rFonts w:hint="eastAsia" w:ascii="仿宋" w:hAnsi="仿宋" w:eastAsia="仿宋" w:cs="宋体"/>
          <w:sz w:val="28"/>
          <w:szCs w:val="28"/>
        </w:rPr>
        <w:t>严格按照答辩委员会提出的修改意见进行修改</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并实行定稿前集中检查落实修改责任制度</w:t>
      </w:r>
      <w:r>
        <w:rPr>
          <w:rFonts w:hint="eastAsia" w:ascii="仿宋" w:hAnsi="仿宋" w:eastAsia="仿宋" w:cs="宋体"/>
          <w:sz w:val="28"/>
          <w:szCs w:val="28"/>
        </w:rPr>
        <w:t>。由于管理规范、指导严谨，</w:t>
      </w:r>
      <w:r>
        <w:rPr>
          <w:rFonts w:hint="eastAsia" w:ascii="仿宋" w:hAnsi="仿宋" w:eastAsia="仿宋" w:cs="宋体"/>
          <w:sz w:val="28"/>
          <w:szCs w:val="28"/>
          <w:lang w:val="en-US" w:eastAsia="zh-CN"/>
        </w:rPr>
        <w:t>层层</w:t>
      </w:r>
      <w:r>
        <w:rPr>
          <w:rFonts w:hint="eastAsia" w:ascii="仿宋" w:hAnsi="仿宋" w:eastAsia="仿宋" w:cs="宋体"/>
          <w:sz w:val="28"/>
          <w:szCs w:val="28"/>
        </w:rPr>
        <w:t>严把论文质量关，202</w:t>
      </w:r>
      <w:r>
        <w:rPr>
          <w:rFonts w:hint="eastAsia" w:ascii="仿宋" w:hAnsi="仿宋" w:eastAsia="仿宋" w:cs="宋体"/>
          <w:sz w:val="28"/>
          <w:szCs w:val="28"/>
          <w:lang w:val="en-US" w:eastAsia="zh-CN"/>
        </w:rPr>
        <w:t>3</w:t>
      </w:r>
      <w:r>
        <w:rPr>
          <w:rFonts w:hint="eastAsia" w:ascii="仿宋" w:hAnsi="仿宋" w:eastAsia="仿宋" w:cs="宋体"/>
          <w:sz w:val="28"/>
          <w:szCs w:val="28"/>
        </w:rPr>
        <w:t>年学位论文盲评通过率达100%，答辩通过率为100%</w:t>
      </w:r>
      <w:r>
        <w:rPr>
          <w:rFonts w:hint="eastAsia" w:ascii="仿宋" w:hAnsi="仿宋" w:eastAsia="仿宋" w:cs="宋体"/>
          <w:sz w:val="28"/>
          <w:szCs w:val="28"/>
          <w:lang w:eastAsia="zh-CN"/>
        </w:rPr>
        <w:t>，</w:t>
      </w:r>
      <w:r>
        <w:rPr>
          <w:rFonts w:hint="eastAsia" w:ascii="仿宋" w:hAnsi="仿宋" w:eastAsia="仿宋" w:cs="宋体"/>
          <w:sz w:val="28"/>
          <w:szCs w:val="28"/>
        </w:rPr>
        <w:t>省学位办抽检论文</w:t>
      </w:r>
      <w:r>
        <w:rPr>
          <w:rFonts w:hint="eastAsia" w:ascii="仿宋" w:hAnsi="仿宋" w:eastAsia="仿宋" w:cs="宋体"/>
          <w:sz w:val="28"/>
          <w:szCs w:val="28"/>
          <w:lang w:val="en-US" w:eastAsia="zh-CN"/>
        </w:rPr>
        <w:t>全部合格</w:t>
      </w:r>
      <w:r>
        <w:rPr>
          <w:rFonts w:hint="eastAsia" w:ascii="仿宋" w:hAnsi="仿宋" w:eastAsia="仿宋" w:cs="宋体"/>
          <w:sz w:val="28"/>
          <w:szCs w:val="28"/>
        </w:rPr>
        <w:t>。</w:t>
      </w:r>
    </w:p>
    <w:p>
      <w:pPr>
        <w:pStyle w:val="3"/>
        <w:snapToGrid w:val="0"/>
        <w:spacing w:before="0" w:after="0" w:line="360" w:lineRule="auto"/>
        <w:rPr>
          <w:rFonts w:ascii="黑体" w:hAnsi="黑体" w:eastAsia="黑体"/>
          <w:b w:val="0"/>
          <w:bCs w:val="0"/>
          <w:color w:val="auto"/>
        </w:rPr>
      </w:pPr>
      <w:bookmarkStart w:id="31" w:name="_Toc92457827"/>
      <w:r>
        <w:rPr>
          <w:rFonts w:hint="eastAsia" w:ascii="黑体" w:hAnsi="黑体" w:eastAsia="黑体"/>
          <w:b w:val="0"/>
          <w:bCs w:val="0"/>
          <w:color w:val="auto"/>
        </w:rPr>
        <w:t>六、改进措施</w:t>
      </w:r>
      <w:bookmarkEnd w:id="31"/>
    </w:p>
    <w:p>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学位点将</w:t>
      </w:r>
      <w:r>
        <w:rPr>
          <w:rFonts w:hint="eastAsia" w:ascii="仿宋" w:hAnsi="仿宋" w:eastAsia="仿宋"/>
          <w:spacing w:val="-7"/>
          <w:w w:val="110"/>
          <w:sz w:val="28"/>
          <w:szCs w:val="28"/>
          <w:lang w:val="en-US" w:eastAsia="zh-CN"/>
        </w:rPr>
        <w:t>继续</w:t>
      </w:r>
      <w:r>
        <w:rPr>
          <w:rFonts w:hint="eastAsia" w:ascii="仿宋" w:hAnsi="仿宋" w:eastAsia="仿宋"/>
          <w:spacing w:val="-7"/>
          <w:w w:val="110"/>
          <w:sz w:val="28"/>
          <w:szCs w:val="28"/>
        </w:rPr>
        <w:t>坚持以党的二十大精神以及习近平总书记考察湖南时重要讲话指示精神为指导，针对学位点存在的主要不足与短板，要以新一轮学校博士点（应用经济学）申报为契机，抢抓“十四五”学科发展、委省共建以及学校获得湖南省双一流高校建设机遇，积极争取各级政府在政策、项目和经费方面的支持，提高研究水平，强化学科特色，不断提高学位点综合实力。</w:t>
      </w:r>
    </w:p>
    <w:p>
      <w:pPr>
        <w:snapToGrid w:val="0"/>
        <w:spacing w:line="360" w:lineRule="auto"/>
        <w:ind w:firstLine="590" w:firstLineChars="200"/>
        <w:rPr>
          <w:rFonts w:hint="eastAsia" w:ascii="仿宋" w:hAnsi="仿宋" w:eastAsia="仿宋"/>
          <w:b/>
          <w:bCs/>
          <w:spacing w:val="-7"/>
          <w:w w:val="110"/>
          <w:sz w:val="28"/>
          <w:szCs w:val="28"/>
        </w:rPr>
      </w:pPr>
      <w:r>
        <w:rPr>
          <w:rFonts w:hint="eastAsia" w:ascii="仿宋" w:hAnsi="仿宋" w:eastAsia="仿宋"/>
          <w:b/>
          <w:bCs/>
          <w:spacing w:val="-7"/>
          <w:w w:val="110"/>
          <w:sz w:val="28"/>
          <w:szCs w:val="28"/>
          <w:lang w:val="en-US" w:eastAsia="zh-CN"/>
        </w:rPr>
        <w:t>1.结合本土特色，继续推进</w:t>
      </w:r>
      <w:r>
        <w:rPr>
          <w:rFonts w:hint="eastAsia" w:ascii="仿宋" w:hAnsi="仿宋" w:eastAsia="仿宋"/>
          <w:b/>
          <w:bCs/>
          <w:spacing w:val="-7"/>
          <w:w w:val="110"/>
          <w:sz w:val="28"/>
          <w:szCs w:val="28"/>
        </w:rPr>
        <w:t>研究生金课建设</w:t>
      </w:r>
    </w:p>
    <w:p>
      <w:pPr>
        <w:snapToGrid w:val="0"/>
        <w:spacing w:line="360" w:lineRule="auto"/>
        <w:ind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lang w:val="en-US" w:eastAsia="zh-CN"/>
        </w:rPr>
        <w:t>进一步</w:t>
      </w:r>
      <w:r>
        <w:rPr>
          <w:rFonts w:hint="eastAsia" w:ascii="仿宋" w:hAnsi="仿宋" w:eastAsia="仿宋"/>
          <w:spacing w:val="-7"/>
          <w:w w:val="110"/>
          <w:sz w:val="28"/>
          <w:szCs w:val="28"/>
        </w:rPr>
        <w:t>推进研究生课程思政建设项目，实现课程教学与研究生思想政治工作的</w:t>
      </w:r>
      <w:r>
        <w:rPr>
          <w:rFonts w:hint="eastAsia" w:ascii="仿宋" w:hAnsi="仿宋" w:eastAsia="仿宋"/>
          <w:spacing w:val="-7"/>
          <w:w w:val="110"/>
          <w:sz w:val="28"/>
          <w:szCs w:val="28"/>
          <w:lang w:val="en-US" w:eastAsia="zh-CN"/>
        </w:rPr>
        <w:t>深度</w:t>
      </w:r>
      <w:r>
        <w:rPr>
          <w:rFonts w:hint="eastAsia" w:ascii="仿宋" w:hAnsi="仿宋" w:eastAsia="仿宋"/>
          <w:spacing w:val="-7"/>
          <w:w w:val="110"/>
          <w:sz w:val="28"/>
          <w:szCs w:val="28"/>
        </w:rPr>
        <w:t>融合。</w:t>
      </w:r>
      <w:r>
        <w:rPr>
          <w:rFonts w:hint="eastAsia" w:ascii="仿宋" w:hAnsi="仿宋" w:eastAsia="仿宋"/>
          <w:spacing w:val="-7"/>
          <w:w w:val="110"/>
          <w:sz w:val="28"/>
          <w:szCs w:val="28"/>
          <w:lang w:val="en-US" w:eastAsia="zh-CN"/>
        </w:rPr>
        <w:t>同时</w:t>
      </w:r>
      <w:r>
        <w:rPr>
          <w:rFonts w:hint="eastAsia" w:ascii="仿宋" w:hAnsi="仿宋" w:eastAsia="仿宋"/>
          <w:spacing w:val="-7"/>
          <w:w w:val="110"/>
          <w:sz w:val="28"/>
          <w:szCs w:val="28"/>
        </w:rPr>
        <w:t>以培养方案</w:t>
      </w:r>
      <w:r>
        <w:rPr>
          <w:rFonts w:hint="eastAsia" w:ascii="仿宋" w:hAnsi="仿宋" w:eastAsia="仿宋"/>
          <w:spacing w:val="-7"/>
          <w:w w:val="110"/>
          <w:sz w:val="28"/>
          <w:szCs w:val="28"/>
          <w:lang w:val="en-US" w:eastAsia="zh-CN"/>
        </w:rPr>
        <w:t>及学位授予标准</w:t>
      </w:r>
      <w:r>
        <w:rPr>
          <w:rFonts w:hint="eastAsia" w:ascii="仿宋" w:hAnsi="仿宋" w:eastAsia="仿宋"/>
          <w:spacing w:val="-7"/>
          <w:w w:val="110"/>
          <w:sz w:val="28"/>
          <w:szCs w:val="28"/>
        </w:rPr>
        <w:t>优化为基础，持续推进研究生课程设计和课程内容更新。</w:t>
      </w:r>
      <w:r>
        <w:rPr>
          <w:rFonts w:hint="eastAsia" w:ascii="仿宋" w:hAnsi="仿宋" w:eastAsia="仿宋"/>
          <w:spacing w:val="-7"/>
          <w:w w:val="110"/>
          <w:sz w:val="28"/>
          <w:szCs w:val="28"/>
          <w:lang w:val="en-US" w:eastAsia="zh-CN"/>
        </w:rPr>
        <w:t>进一步</w:t>
      </w:r>
      <w:r>
        <w:rPr>
          <w:rFonts w:hint="eastAsia" w:ascii="仿宋" w:hAnsi="仿宋" w:eastAsia="仿宋"/>
          <w:spacing w:val="-7"/>
          <w:w w:val="110"/>
          <w:sz w:val="28"/>
          <w:szCs w:val="28"/>
        </w:rPr>
        <w:t>激发任课教师提升教学质量的积极性，支持和鼓励任课教师积极申报</w:t>
      </w:r>
      <w:r>
        <w:rPr>
          <w:rFonts w:hint="eastAsia" w:ascii="仿宋" w:hAnsi="仿宋" w:eastAsia="仿宋"/>
          <w:spacing w:val="-7"/>
          <w:w w:val="110"/>
          <w:sz w:val="28"/>
          <w:szCs w:val="28"/>
          <w:lang w:val="en-US" w:eastAsia="zh-CN"/>
        </w:rPr>
        <w:t>湖南省</w:t>
      </w:r>
      <w:r>
        <w:rPr>
          <w:rFonts w:hint="eastAsia" w:ascii="仿宋" w:hAnsi="仿宋" w:eastAsia="仿宋"/>
          <w:spacing w:val="-7"/>
          <w:w w:val="110"/>
          <w:sz w:val="28"/>
          <w:szCs w:val="28"/>
        </w:rPr>
        <w:t>研究生</w:t>
      </w:r>
      <w:r>
        <w:rPr>
          <w:rFonts w:hint="eastAsia" w:ascii="仿宋" w:hAnsi="仿宋" w:eastAsia="仿宋"/>
          <w:spacing w:val="-7"/>
          <w:w w:val="110"/>
          <w:sz w:val="28"/>
          <w:szCs w:val="28"/>
          <w:lang w:val="en-US" w:eastAsia="zh-CN"/>
        </w:rPr>
        <w:t>精品</w:t>
      </w:r>
      <w:r>
        <w:rPr>
          <w:rFonts w:hint="eastAsia" w:ascii="仿宋" w:hAnsi="仿宋" w:eastAsia="仿宋"/>
          <w:spacing w:val="-7"/>
          <w:w w:val="110"/>
          <w:sz w:val="28"/>
          <w:szCs w:val="28"/>
        </w:rPr>
        <w:t>课程</w:t>
      </w:r>
      <w:r>
        <w:rPr>
          <w:rFonts w:hint="eastAsia" w:ascii="仿宋" w:hAnsi="仿宋" w:eastAsia="仿宋"/>
          <w:spacing w:val="-7"/>
          <w:w w:val="110"/>
          <w:sz w:val="28"/>
          <w:szCs w:val="28"/>
          <w:lang w:val="en-US" w:eastAsia="zh-CN"/>
        </w:rPr>
        <w:t>及精品教材</w:t>
      </w:r>
      <w:r>
        <w:rPr>
          <w:rFonts w:hint="eastAsia" w:ascii="仿宋" w:hAnsi="仿宋" w:eastAsia="仿宋"/>
          <w:spacing w:val="-7"/>
          <w:w w:val="110"/>
          <w:sz w:val="28"/>
          <w:szCs w:val="28"/>
        </w:rPr>
        <w:t>；鼓励和支持任课教师立足</w:t>
      </w:r>
      <w:r>
        <w:rPr>
          <w:rFonts w:hint="eastAsia" w:ascii="仿宋" w:hAnsi="仿宋" w:eastAsia="仿宋"/>
          <w:spacing w:val="-7"/>
          <w:w w:val="110"/>
          <w:sz w:val="28"/>
          <w:szCs w:val="28"/>
          <w:lang w:val="en-US" w:eastAsia="zh-CN"/>
        </w:rPr>
        <w:t>研究生培养特色结合</w:t>
      </w:r>
      <w:r>
        <w:rPr>
          <w:rFonts w:hint="eastAsia" w:ascii="仿宋" w:hAnsi="仿宋" w:eastAsia="仿宋"/>
          <w:spacing w:val="-7"/>
          <w:w w:val="110"/>
          <w:sz w:val="28"/>
          <w:szCs w:val="28"/>
        </w:rPr>
        <w:t>本土资源案例和研究成果，编写并出版</w:t>
      </w:r>
      <w:r>
        <w:rPr>
          <w:rFonts w:hint="eastAsia" w:ascii="仿宋" w:hAnsi="仿宋" w:eastAsia="仿宋"/>
          <w:spacing w:val="-7"/>
          <w:w w:val="110"/>
          <w:sz w:val="28"/>
          <w:szCs w:val="28"/>
          <w:lang w:val="en-US" w:eastAsia="zh-CN"/>
        </w:rPr>
        <w:t>更多</w:t>
      </w:r>
      <w:r>
        <w:rPr>
          <w:rFonts w:hint="eastAsia" w:ascii="仿宋" w:hAnsi="仿宋" w:eastAsia="仿宋"/>
          <w:spacing w:val="-7"/>
          <w:w w:val="110"/>
          <w:sz w:val="28"/>
          <w:szCs w:val="28"/>
        </w:rPr>
        <w:t>具有本土特色的研究生教材</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持续推进教学手段“现代化”、教学内容“前沿化”、教学资源“本土化”的研究生课程教学改革</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强化课程</w:t>
      </w:r>
      <w:r>
        <w:rPr>
          <w:rFonts w:hint="eastAsia" w:ascii="仿宋" w:hAnsi="仿宋" w:eastAsia="仿宋"/>
          <w:spacing w:val="-7"/>
          <w:w w:val="110"/>
          <w:sz w:val="28"/>
          <w:szCs w:val="28"/>
          <w:lang w:val="en-US" w:eastAsia="zh-CN"/>
        </w:rPr>
        <w:t>本土</w:t>
      </w:r>
      <w:r>
        <w:rPr>
          <w:rFonts w:hint="eastAsia" w:ascii="仿宋" w:hAnsi="仿宋" w:eastAsia="仿宋"/>
          <w:spacing w:val="-7"/>
          <w:w w:val="110"/>
          <w:sz w:val="28"/>
          <w:szCs w:val="28"/>
        </w:rPr>
        <w:t>特色</w:t>
      </w:r>
      <w:r>
        <w:rPr>
          <w:rFonts w:hint="eastAsia" w:ascii="仿宋" w:hAnsi="仿宋" w:eastAsia="仿宋"/>
          <w:spacing w:val="-7"/>
          <w:w w:val="110"/>
          <w:sz w:val="28"/>
          <w:szCs w:val="28"/>
          <w:lang w:eastAsia="zh-CN"/>
        </w:rPr>
        <w:t>。</w:t>
      </w:r>
    </w:p>
    <w:p>
      <w:pPr>
        <w:snapToGrid w:val="0"/>
        <w:spacing w:line="360" w:lineRule="auto"/>
        <w:ind w:firstLine="590" w:firstLineChars="200"/>
        <w:rPr>
          <w:rFonts w:hint="eastAsia" w:ascii="仿宋" w:hAnsi="仿宋" w:eastAsia="仿宋"/>
          <w:b/>
          <w:bCs/>
          <w:spacing w:val="-7"/>
          <w:w w:val="110"/>
          <w:sz w:val="28"/>
          <w:szCs w:val="28"/>
          <w:lang w:val="en-US" w:eastAsia="zh-CN"/>
        </w:rPr>
      </w:pPr>
      <w:r>
        <w:rPr>
          <w:rFonts w:hint="eastAsia" w:ascii="仿宋" w:hAnsi="仿宋" w:eastAsia="仿宋"/>
          <w:b/>
          <w:bCs/>
          <w:spacing w:val="-7"/>
          <w:w w:val="110"/>
          <w:sz w:val="28"/>
          <w:szCs w:val="28"/>
          <w:lang w:val="en-US" w:eastAsia="zh-CN"/>
        </w:rPr>
        <w:t>2.引进与培养相结合，持续推进导师队伍建设</w:t>
      </w:r>
    </w:p>
    <w:p>
      <w:pPr>
        <w:snapToGrid w:val="0"/>
        <w:spacing w:line="360" w:lineRule="auto"/>
        <w:ind w:firstLine="588" w:firstLineChars="200"/>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持续推进研究团队建设，以服务区域经济社会发展为目标，进一步凝练学科方向，搭建较高层次学科平台，培养较高水平学科队伍。高度重视导师能力和素质建设工作，</w:t>
      </w:r>
      <w:r>
        <w:rPr>
          <w:rFonts w:hint="eastAsia" w:ascii="仿宋" w:hAnsi="仿宋" w:eastAsia="仿宋"/>
          <w:spacing w:val="-7"/>
          <w:w w:val="110"/>
          <w:sz w:val="28"/>
          <w:szCs w:val="28"/>
          <w:lang w:val="en-US" w:eastAsia="zh-CN"/>
        </w:rPr>
        <w:t>提高导师业务培训质量，</w:t>
      </w:r>
      <w:r>
        <w:rPr>
          <w:rFonts w:hint="eastAsia" w:ascii="仿宋" w:hAnsi="仿宋" w:eastAsia="仿宋"/>
          <w:spacing w:val="-7"/>
          <w:w w:val="110"/>
          <w:sz w:val="28"/>
          <w:szCs w:val="28"/>
        </w:rPr>
        <w:t>鼓励和支持导师持续创新研究生培养机制，</w:t>
      </w:r>
      <w:r>
        <w:rPr>
          <w:rFonts w:hint="eastAsia" w:ascii="仿宋" w:hAnsi="仿宋" w:eastAsia="仿宋"/>
          <w:spacing w:val="-7"/>
          <w:w w:val="110"/>
          <w:sz w:val="28"/>
          <w:szCs w:val="28"/>
          <w:lang w:val="en-US" w:eastAsia="zh-CN"/>
        </w:rPr>
        <w:t>同时</w:t>
      </w:r>
      <w:r>
        <w:rPr>
          <w:rFonts w:hint="eastAsia" w:ascii="仿宋" w:hAnsi="仿宋" w:eastAsia="仿宋"/>
          <w:spacing w:val="-7"/>
          <w:w w:val="110"/>
          <w:sz w:val="28"/>
          <w:szCs w:val="28"/>
        </w:rPr>
        <w:t>推进导师考核与激励机制创新，突出研究生导师在研究生培养中的主体地位，</w:t>
      </w:r>
      <w:r>
        <w:rPr>
          <w:rFonts w:hint="eastAsia" w:ascii="仿宋" w:hAnsi="仿宋" w:eastAsia="仿宋"/>
          <w:spacing w:val="-7"/>
          <w:w w:val="110"/>
          <w:sz w:val="28"/>
          <w:szCs w:val="28"/>
          <w:lang w:val="en-US" w:eastAsia="zh-CN"/>
        </w:rPr>
        <w:t>提高导师的</w:t>
      </w:r>
      <w:r>
        <w:rPr>
          <w:rFonts w:hint="eastAsia" w:ascii="仿宋" w:hAnsi="仿宋" w:eastAsia="仿宋"/>
          <w:spacing w:val="-7"/>
          <w:w w:val="110"/>
          <w:sz w:val="28"/>
          <w:szCs w:val="28"/>
        </w:rPr>
        <w:t>积极性。</w:t>
      </w:r>
      <w:r>
        <w:rPr>
          <w:rFonts w:hint="eastAsia" w:ascii="仿宋" w:hAnsi="仿宋" w:eastAsia="仿宋"/>
          <w:spacing w:val="-7"/>
          <w:w w:val="110"/>
          <w:sz w:val="28"/>
          <w:szCs w:val="28"/>
          <w:lang w:val="en-US" w:eastAsia="zh-CN"/>
        </w:rPr>
        <w:t>培养的同时，要</w:t>
      </w:r>
      <w:r>
        <w:rPr>
          <w:rFonts w:hint="eastAsia" w:ascii="仿宋" w:hAnsi="仿宋" w:eastAsia="仿宋"/>
          <w:spacing w:val="-7"/>
          <w:w w:val="110"/>
          <w:sz w:val="28"/>
          <w:szCs w:val="28"/>
          <w:lang w:eastAsia="zh-CN"/>
        </w:rPr>
        <w:t>努力引进高水平学科带头人和高层次中青年学术骨干，充分发挥学校“俊彦”计划和“双一流”学科建设政策和经费的支持效应，加大对学科带头人和中青年学术骨干的激励力度，创建良好的科研学术氛围，积极推进实施学位点人才梯队培育工程。</w:t>
      </w:r>
    </w:p>
    <w:p>
      <w:pPr>
        <w:snapToGrid w:val="0"/>
        <w:spacing w:line="360" w:lineRule="auto"/>
        <w:ind w:firstLine="590" w:firstLineChars="200"/>
        <w:rPr>
          <w:rFonts w:hint="eastAsia" w:ascii="仿宋" w:hAnsi="仿宋" w:eastAsia="仿宋"/>
          <w:b/>
          <w:bCs/>
          <w:spacing w:val="-7"/>
          <w:w w:val="110"/>
          <w:sz w:val="28"/>
          <w:szCs w:val="28"/>
        </w:rPr>
      </w:pPr>
      <w:r>
        <w:rPr>
          <w:rFonts w:hint="eastAsia" w:ascii="仿宋" w:hAnsi="仿宋" w:eastAsia="仿宋"/>
          <w:b/>
          <w:bCs/>
          <w:spacing w:val="-7"/>
          <w:w w:val="110"/>
          <w:sz w:val="28"/>
          <w:szCs w:val="28"/>
          <w:lang w:val="en-US" w:eastAsia="zh-CN"/>
        </w:rPr>
        <w:t>3.多渠道</w:t>
      </w:r>
      <w:r>
        <w:rPr>
          <w:rFonts w:hint="eastAsia" w:ascii="仿宋" w:hAnsi="仿宋" w:eastAsia="仿宋"/>
          <w:b/>
          <w:bCs/>
          <w:spacing w:val="-7"/>
          <w:w w:val="110"/>
          <w:sz w:val="28"/>
          <w:szCs w:val="28"/>
        </w:rPr>
        <w:t>并行</w:t>
      </w:r>
      <w:r>
        <w:rPr>
          <w:rFonts w:hint="eastAsia" w:ascii="仿宋" w:hAnsi="仿宋" w:eastAsia="仿宋"/>
          <w:b/>
          <w:bCs/>
          <w:spacing w:val="-7"/>
          <w:w w:val="110"/>
          <w:sz w:val="28"/>
          <w:szCs w:val="28"/>
          <w:lang w:eastAsia="zh-CN"/>
        </w:rPr>
        <w:t>，</w:t>
      </w:r>
      <w:r>
        <w:rPr>
          <w:rFonts w:hint="eastAsia" w:ascii="仿宋" w:hAnsi="仿宋" w:eastAsia="仿宋"/>
          <w:b/>
          <w:bCs/>
          <w:spacing w:val="-7"/>
          <w:w w:val="110"/>
          <w:sz w:val="28"/>
          <w:szCs w:val="28"/>
        </w:rPr>
        <w:t>推进研究生培养平台建设</w:t>
      </w:r>
    </w:p>
    <w:p>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加大</w:t>
      </w:r>
      <w:r>
        <w:rPr>
          <w:rFonts w:hint="eastAsia" w:ascii="仿宋" w:hAnsi="仿宋" w:eastAsia="仿宋"/>
          <w:spacing w:val="-7"/>
          <w:w w:val="110"/>
          <w:sz w:val="28"/>
          <w:szCs w:val="28"/>
          <w:lang w:val="en-US" w:eastAsia="zh-CN"/>
        </w:rPr>
        <w:t>研究生培养人力、资金</w:t>
      </w:r>
      <w:r>
        <w:rPr>
          <w:rFonts w:hint="eastAsia" w:ascii="仿宋" w:hAnsi="仿宋" w:eastAsia="仿宋"/>
          <w:spacing w:val="-7"/>
          <w:w w:val="110"/>
          <w:sz w:val="28"/>
          <w:szCs w:val="28"/>
        </w:rPr>
        <w:t>投入，坚持“请进来”与“走出去”并行，</w:t>
      </w:r>
      <w:r>
        <w:rPr>
          <w:rFonts w:hint="eastAsia" w:ascii="仿宋" w:hAnsi="仿宋" w:eastAsia="仿宋"/>
          <w:spacing w:val="-7"/>
          <w:w w:val="110"/>
          <w:sz w:val="28"/>
          <w:szCs w:val="28"/>
          <w:lang w:val="en-US" w:eastAsia="zh-CN"/>
        </w:rPr>
        <w:t>通过</w:t>
      </w:r>
      <w:r>
        <w:rPr>
          <w:rFonts w:hint="eastAsia" w:ascii="仿宋" w:hAnsi="仿宋" w:eastAsia="仿宋"/>
          <w:spacing w:val="-7"/>
          <w:w w:val="110"/>
          <w:sz w:val="28"/>
          <w:szCs w:val="28"/>
        </w:rPr>
        <w:t>主办、承办、协办各类国际国内学术会议，为</w:t>
      </w: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师生开展学术交流活动搭建平台；积极创造有利条件，支持师生赴海内外学习交流，开阔学术视野，提升学术水平。强化校友资源利用，发挥校友在案例开发、研究生实习等方面的特殊作用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支持和鼓励老师积极申报校级和省级研究生培养创新基地，切实提升基地的建设质量。</w:t>
      </w:r>
    </w:p>
    <w:p>
      <w:pPr>
        <w:snapToGrid w:val="0"/>
        <w:spacing w:line="360" w:lineRule="auto"/>
        <w:ind w:firstLine="590" w:firstLineChars="200"/>
        <w:rPr>
          <w:rFonts w:hint="eastAsia" w:ascii="仿宋" w:hAnsi="仿宋" w:eastAsia="仿宋"/>
          <w:b/>
          <w:bCs/>
          <w:spacing w:val="-7"/>
          <w:w w:val="110"/>
          <w:sz w:val="28"/>
          <w:szCs w:val="28"/>
        </w:rPr>
      </w:pPr>
      <w:r>
        <w:rPr>
          <w:rFonts w:hint="eastAsia" w:ascii="仿宋" w:hAnsi="仿宋" w:eastAsia="仿宋"/>
          <w:b/>
          <w:bCs/>
          <w:spacing w:val="-7"/>
          <w:w w:val="110"/>
          <w:sz w:val="28"/>
          <w:szCs w:val="28"/>
          <w:lang w:val="en-US" w:eastAsia="zh-CN"/>
        </w:rPr>
        <w:t>4.继续</w:t>
      </w:r>
      <w:r>
        <w:rPr>
          <w:rFonts w:hint="eastAsia" w:ascii="仿宋" w:hAnsi="仿宋" w:eastAsia="仿宋"/>
          <w:b/>
          <w:bCs/>
          <w:spacing w:val="-7"/>
          <w:w w:val="110"/>
          <w:sz w:val="28"/>
          <w:szCs w:val="28"/>
        </w:rPr>
        <w:t>实施研究生科研创新素质提升工程</w:t>
      </w:r>
    </w:p>
    <w:p>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发挥好风雨湖大讲堂、研究生学术沙龙等学术交流平台的作用，鼓励和支持研究生进行论文成果、案例探索等类型的学术报告和学术交流；鼓励和支持研究生申报各级各类课题、参与导师课题研究、参与学术交流、参与社会服务，支持研究生发表高质量论文和攻读博士学位，切实提升自身科研创新能力。以湖南省MBA企业案例大赛、湖南省MPAcc企业案例大赛、</w:t>
      </w:r>
      <w:r>
        <w:rPr>
          <w:rFonts w:hint="eastAsia" w:ascii="仿宋" w:hAnsi="仿宋" w:eastAsia="仿宋"/>
          <w:spacing w:val="-7"/>
          <w:w w:val="110"/>
          <w:sz w:val="28"/>
          <w:szCs w:val="28"/>
          <w:lang w:val="en-US" w:eastAsia="zh-CN"/>
        </w:rPr>
        <w:t>湖南省金融案例大赛、</w:t>
      </w:r>
      <w:r>
        <w:rPr>
          <w:rFonts w:hint="eastAsia" w:ascii="仿宋" w:hAnsi="仿宋" w:eastAsia="仿宋"/>
          <w:spacing w:val="-7"/>
          <w:w w:val="110"/>
          <w:sz w:val="28"/>
          <w:szCs w:val="28"/>
        </w:rPr>
        <w:t>研究生数学建模竞赛、全国大学生市场调查与分析大赛等项目为基础，切实发挥导师的积极性，以赛促学，持续推进研究生学科竞赛项目质量提升。</w:t>
      </w:r>
    </w:p>
    <w:p>
      <w:pPr>
        <w:snapToGrid w:val="0"/>
        <w:spacing w:line="360" w:lineRule="auto"/>
        <w:ind w:firstLine="590" w:firstLineChars="200"/>
        <w:rPr>
          <w:rFonts w:hint="eastAsia" w:ascii="仿宋" w:hAnsi="仿宋" w:eastAsia="仿宋"/>
          <w:b/>
          <w:bCs/>
          <w:spacing w:val="-7"/>
          <w:w w:val="110"/>
          <w:sz w:val="28"/>
          <w:szCs w:val="28"/>
          <w:lang w:val="en-US" w:eastAsia="zh-CN"/>
        </w:rPr>
      </w:pPr>
      <w:r>
        <w:rPr>
          <w:rFonts w:hint="eastAsia" w:ascii="仿宋" w:hAnsi="仿宋" w:eastAsia="仿宋"/>
          <w:b/>
          <w:bCs/>
          <w:spacing w:val="-7"/>
          <w:w w:val="110"/>
          <w:sz w:val="28"/>
          <w:szCs w:val="28"/>
          <w:lang w:val="en-US" w:eastAsia="zh-CN"/>
        </w:rPr>
        <w:t>5.进一步</w:t>
      </w:r>
      <w:r>
        <w:rPr>
          <w:rFonts w:hint="eastAsia" w:ascii="仿宋" w:hAnsi="仿宋" w:eastAsia="仿宋"/>
          <w:b/>
          <w:bCs/>
          <w:spacing w:val="-7"/>
          <w:w w:val="110"/>
          <w:sz w:val="28"/>
          <w:szCs w:val="28"/>
        </w:rPr>
        <w:t>创新研究生教育管理机制</w:t>
      </w:r>
      <w:r>
        <w:rPr>
          <w:rFonts w:hint="eastAsia" w:ascii="仿宋" w:hAnsi="仿宋" w:eastAsia="仿宋"/>
          <w:b/>
          <w:bCs/>
          <w:spacing w:val="-7"/>
          <w:w w:val="110"/>
          <w:sz w:val="28"/>
          <w:szCs w:val="28"/>
          <w:lang w:eastAsia="zh-CN"/>
        </w:rPr>
        <w:t>，</w:t>
      </w:r>
      <w:r>
        <w:rPr>
          <w:rFonts w:hint="eastAsia" w:ascii="仿宋" w:hAnsi="仿宋" w:eastAsia="仿宋"/>
          <w:b/>
          <w:bCs/>
          <w:spacing w:val="-7"/>
          <w:w w:val="110"/>
          <w:sz w:val="28"/>
          <w:szCs w:val="28"/>
          <w:lang w:val="en-US" w:eastAsia="zh-CN"/>
        </w:rPr>
        <w:t>提高研究生培养质量</w:t>
      </w:r>
    </w:p>
    <w:p>
      <w:pPr>
        <w:snapToGrid w:val="0"/>
        <w:spacing w:line="360" w:lineRule="auto"/>
        <w:ind w:firstLine="588" w:firstLineChars="200"/>
        <w:rPr>
          <w:rFonts w:ascii="宋体" w:hAnsi="宋体"/>
          <w:spacing w:val="-7"/>
          <w:w w:val="110"/>
          <w:sz w:val="28"/>
          <w:szCs w:val="28"/>
        </w:rPr>
      </w:pPr>
      <w:r>
        <w:rPr>
          <w:rFonts w:hint="eastAsia" w:ascii="仿宋" w:hAnsi="仿宋" w:eastAsia="仿宋"/>
          <w:spacing w:val="-7"/>
          <w:w w:val="110"/>
          <w:sz w:val="28"/>
          <w:szCs w:val="28"/>
          <w:lang w:val="en-US" w:eastAsia="zh-CN"/>
        </w:rPr>
        <w:t>进一步理顺</w:t>
      </w:r>
      <w:r>
        <w:rPr>
          <w:rFonts w:hint="eastAsia" w:ascii="仿宋" w:hAnsi="仿宋" w:eastAsia="仿宋"/>
          <w:spacing w:val="-7"/>
          <w:w w:val="110"/>
          <w:sz w:val="28"/>
          <w:szCs w:val="28"/>
        </w:rPr>
        <w:t>学院党委、行政、导师等主体的协同作用，加强研究生思想政治</w:t>
      </w:r>
      <w:r>
        <w:rPr>
          <w:rFonts w:hint="eastAsia" w:ascii="仿宋" w:hAnsi="仿宋" w:eastAsia="仿宋"/>
          <w:spacing w:val="-7"/>
          <w:w w:val="110"/>
          <w:sz w:val="28"/>
          <w:szCs w:val="28"/>
          <w:lang w:val="en-US" w:eastAsia="zh-CN"/>
        </w:rPr>
        <w:t>与专业培养</w:t>
      </w:r>
      <w:r>
        <w:rPr>
          <w:rFonts w:hint="eastAsia" w:ascii="仿宋" w:hAnsi="仿宋" w:eastAsia="仿宋"/>
          <w:spacing w:val="-7"/>
          <w:w w:val="110"/>
          <w:sz w:val="28"/>
          <w:szCs w:val="28"/>
        </w:rPr>
        <w:t>教育。不断优化研究生教育管理的流程，做好研究生培养和管理各环节的质量控制</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通过定期开展行政管理人员、导师、班委、研究生的相关会议，至少一个月开一次研究生培养教育管理大会，梳理本月的主要工作，并对上一个月的工作进行总结；同时通过定期开导师会议可以加强导师责任制的实行，把握好研究生的教育培养，定期完成培养方案学分；通过定期开班委会以便及时了解班上的动态，同时也是班级问题反馈的重要渠道；研究生会议主要是以便研究生的思想教育学习，加强研究生的理想目标和社会主义核心价值观教育。多方主体的管理机制有助于研究生培养质量与行政人员管理水平的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2E2MmEzZTJiYmJlZDM3OGVmOGUxNDBiYTg3ZTgifQ=="/>
  </w:docVars>
  <w:rsids>
    <w:rsidRoot w:val="50B15851"/>
    <w:rsid w:val="000460C4"/>
    <w:rsid w:val="00053EE5"/>
    <w:rsid w:val="0013451B"/>
    <w:rsid w:val="00164706"/>
    <w:rsid w:val="001B5F8A"/>
    <w:rsid w:val="001D596B"/>
    <w:rsid w:val="00265A8C"/>
    <w:rsid w:val="00297F11"/>
    <w:rsid w:val="00301E02"/>
    <w:rsid w:val="003513BC"/>
    <w:rsid w:val="0036539E"/>
    <w:rsid w:val="00385644"/>
    <w:rsid w:val="00386F0E"/>
    <w:rsid w:val="00390741"/>
    <w:rsid w:val="00433426"/>
    <w:rsid w:val="00445BE2"/>
    <w:rsid w:val="00456ABD"/>
    <w:rsid w:val="004F5018"/>
    <w:rsid w:val="00521A7A"/>
    <w:rsid w:val="00533BCB"/>
    <w:rsid w:val="005823F0"/>
    <w:rsid w:val="005B0B7F"/>
    <w:rsid w:val="005B6F24"/>
    <w:rsid w:val="00611EFF"/>
    <w:rsid w:val="00643C43"/>
    <w:rsid w:val="006455DF"/>
    <w:rsid w:val="006722B2"/>
    <w:rsid w:val="00677670"/>
    <w:rsid w:val="006F0050"/>
    <w:rsid w:val="006F3452"/>
    <w:rsid w:val="0070106A"/>
    <w:rsid w:val="0070133E"/>
    <w:rsid w:val="00707BBF"/>
    <w:rsid w:val="00725345"/>
    <w:rsid w:val="00726AB4"/>
    <w:rsid w:val="00730609"/>
    <w:rsid w:val="00782BA4"/>
    <w:rsid w:val="007B190C"/>
    <w:rsid w:val="007B4D9F"/>
    <w:rsid w:val="007C151F"/>
    <w:rsid w:val="008152AC"/>
    <w:rsid w:val="00844D45"/>
    <w:rsid w:val="00867A00"/>
    <w:rsid w:val="008932BA"/>
    <w:rsid w:val="008A2674"/>
    <w:rsid w:val="008A467F"/>
    <w:rsid w:val="008B3E1F"/>
    <w:rsid w:val="00940A6C"/>
    <w:rsid w:val="009522D1"/>
    <w:rsid w:val="00962631"/>
    <w:rsid w:val="00987BA8"/>
    <w:rsid w:val="00995C41"/>
    <w:rsid w:val="009D11E1"/>
    <w:rsid w:val="009E2D11"/>
    <w:rsid w:val="009E4411"/>
    <w:rsid w:val="00A3565C"/>
    <w:rsid w:val="00A9729D"/>
    <w:rsid w:val="00AB1262"/>
    <w:rsid w:val="00AB66A9"/>
    <w:rsid w:val="00AC51EB"/>
    <w:rsid w:val="00AF37D5"/>
    <w:rsid w:val="00B44123"/>
    <w:rsid w:val="00B87EF8"/>
    <w:rsid w:val="00B96157"/>
    <w:rsid w:val="00BD22F6"/>
    <w:rsid w:val="00BF387B"/>
    <w:rsid w:val="00C309BC"/>
    <w:rsid w:val="00C516ED"/>
    <w:rsid w:val="00C824F5"/>
    <w:rsid w:val="00C85D59"/>
    <w:rsid w:val="00CB0BFC"/>
    <w:rsid w:val="00CD56A4"/>
    <w:rsid w:val="00CE20B6"/>
    <w:rsid w:val="00CF75DF"/>
    <w:rsid w:val="00D749EA"/>
    <w:rsid w:val="00D93E55"/>
    <w:rsid w:val="00DC124F"/>
    <w:rsid w:val="00E602B5"/>
    <w:rsid w:val="00E737FA"/>
    <w:rsid w:val="00ED377B"/>
    <w:rsid w:val="00F35473"/>
    <w:rsid w:val="00F626F8"/>
    <w:rsid w:val="00F650B3"/>
    <w:rsid w:val="00FC70C0"/>
    <w:rsid w:val="00FE7807"/>
    <w:rsid w:val="01E3718B"/>
    <w:rsid w:val="04692CD0"/>
    <w:rsid w:val="04757F46"/>
    <w:rsid w:val="058830A2"/>
    <w:rsid w:val="07B742AB"/>
    <w:rsid w:val="08C93655"/>
    <w:rsid w:val="08D656EB"/>
    <w:rsid w:val="09173A60"/>
    <w:rsid w:val="091F0E0B"/>
    <w:rsid w:val="09231C4C"/>
    <w:rsid w:val="09547D9A"/>
    <w:rsid w:val="0A6765EE"/>
    <w:rsid w:val="0D10175C"/>
    <w:rsid w:val="0F071BA5"/>
    <w:rsid w:val="0FC03992"/>
    <w:rsid w:val="10493C0A"/>
    <w:rsid w:val="11CA2884"/>
    <w:rsid w:val="12335138"/>
    <w:rsid w:val="12D96F24"/>
    <w:rsid w:val="12E24494"/>
    <w:rsid w:val="13A935BD"/>
    <w:rsid w:val="145B4C97"/>
    <w:rsid w:val="15F84AA5"/>
    <w:rsid w:val="16792E84"/>
    <w:rsid w:val="188C2B26"/>
    <w:rsid w:val="190470B1"/>
    <w:rsid w:val="19F17D72"/>
    <w:rsid w:val="1A711AC0"/>
    <w:rsid w:val="1B3C14F7"/>
    <w:rsid w:val="1CDF5F24"/>
    <w:rsid w:val="1FB519E5"/>
    <w:rsid w:val="1FDA598B"/>
    <w:rsid w:val="1FDC0735"/>
    <w:rsid w:val="212311E7"/>
    <w:rsid w:val="21B20AD4"/>
    <w:rsid w:val="23773B77"/>
    <w:rsid w:val="244A27F5"/>
    <w:rsid w:val="24896BD3"/>
    <w:rsid w:val="25463EAF"/>
    <w:rsid w:val="27677991"/>
    <w:rsid w:val="27F669D8"/>
    <w:rsid w:val="290553B3"/>
    <w:rsid w:val="295054F6"/>
    <w:rsid w:val="29707988"/>
    <w:rsid w:val="297851FE"/>
    <w:rsid w:val="2A7E549F"/>
    <w:rsid w:val="2AAE68E9"/>
    <w:rsid w:val="2DE80131"/>
    <w:rsid w:val="2F106B60"/>
    <w:rsid w:val="30140919"/>
    <w:rsid w:val="320724DA"/>
    <w:rsid w:val="32D631F0"/>
    <w:rsid w:val="35DC6A5F"/>
    <w:rsid w:val="3615049E"/>
    <w:rsid w:val="36CC1EA5"/>
    <w:rsid w:val="3756408B"/>
    <w:rsid w:val="396C6715"/>
    <w:rsid w:val="3972198D"/>
    <w:rsid w:val="39B06A80"/>
    <w:rsid w:val="3A955F6D"/>
    <w:rsid w:val="3AC94A09"/>
    <w:rsid w:val="3AEA7F01"/>
    <w:rsid w:val="3C1E2652"/>
    <w:rsid w:val="3D165FD2"/>
    <w:rsid w:val="3D763179"/>
    <w:rsid w:val="3E9B0C43"/>
    <w:rsid w:val="40056133"/>
    <w:rsid w:val="401C35B7"/>
    <w:rsid w:val="40D33D5E"/>
    <w:rsid w:val="4186142F"/>
    <w:rsid w:val="41B80492"/>
    <w:rsid w:val="41CE636A"/>
    <w:rsid w:val="42AA2525"/>
    <w:rsid w:val="42B375DC"/>
    <w:rsid w:val="42E373E0"/>
    <w:rsid w:val="44A27907"/>
    <w:rsid w:val="45C63752"/>
    <w:rsid w:val="46C21EE4"/>
    <w:rsid w:val="46C657F5"/>
    <w:rsid w:val="484F30AC"/>
    <w:rsid w:val="48C37EC0"/>
    <w:rsid w:val="48ED3CFA"/>
    <w:rsid w:val="4A6D43F8"/>
    <w:rsid w:val="4B090573"/>
    <w:rsid w:val="4BA428E3"/>
    <w:rsid w:val="4C7251C4"/>
    <w:rsid w:val="4F536D5B"/>
    <w:rsid w:val="505E2487"/>
    <w:rsid w:val="506B2DC1"/>
    <w:rsid w:val="50A907B5"/>
    <w:rsid w:val="50B15851"/>
    <w:rsid w:val="50DE175A"/>
    <w:rsid w:val="52E346FA"/>
    <w:rsid w:val="5370715D"/>
    <w:rsid w:val="54B05D25"/>
    <w:rsid w:val="553E1482"/>
    <w:rsid w:val="58133499"/>
    <w:rsid w:val="58FD337D"/>
    <w:rsid w:val="59104463"/>
    <w:rsid w:val="5ABF31FE"/>
    <w:rsid w:val="5B16297F"/>
    <w:rsid w:val="5BC93005"/>
    <w:rsid w:val="5C7356E2"/>
    <w:rsid w:val="5CDF179C"/>
    <w:rsid w:val="5CE42197"/>
    <w:rsid w:val="5F163088"/>
    <w:rsid w:val="5FDE12AF"/>
    <w:rsid w:val="60927329"/>
    <w:rsid w:val="618B1F5D"/>
    <w:rsid w:val="61AA0037"/>
    <w:rsid w:val="64C94D78"/>
    <w:rsid w:val="65EC271D"/>
    <w:rsid w:val="66464FC5"/>
    <w:rsid w:val="66C427B4"/>
    <w:rsid w:val="68BC5B39"/>
    <w:rsid w:val="6DB81AA3"/>
    <w:rsid w:val="6DBA1486"/>
    <w:rsid w:val="6FC92F48"/>
    <w:rsid w:val="71103BE6"/>
    <w:rsid w:val="724E4B0C"/>
    <w:rsid w:val="73840403"/>
    <w:rsid w:val="78480ED5"/>
    <w:rsid w:val="78C338C8"/>
    <w:rsid w:val="7A8366A9"/>
    <w:rsid w:val="7BA94B16"/>
    <w:rsid w:val="7D47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0"/>
    <w:pPr>
      <w:keepNext/>
      <w:keepLines/>
      <w:spacing w:line="416" w:lineRule="auto"/>
      <w:outlineLvl w:val="2"/>
    </w:pPr>
    <w:rPr>
      <w:rFonts w:ascii="Times New Roman" w:hAnsi="Times New Roman" w:eastAsia="宋体"/>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autoRedefine/>
    <w:qFormat/>
    <w:uiPriority w:val="0"/>
    <w:pPr>
      <w:spacing w:after="120"/>
    </w:p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39"/>
    <w:pPr>
      <w:ind w:left="840" w:leftChars="400"/>
    </w:pPr>
  </w:style>
  <w:style w:type="paragraph" w:styleId="9">
    <w:name w:val="footer"/>
    <w:basedOn w:val="1"/>
    <w:link w:val="25"/>
    <w:autoRedefine/>
    <w:qFormat/>
    <w:uiPriority w:val="0"/>
    <w:pPr>
      <w:tabs>
        <w:tab w:val="center" w:pos="4153"/>
        <w:tab w:val="right" w:pos="8306"/>
      </w:tabs>
      <w:snapToGrid w:val="0"/>
      <w:jc w:val="left"/>
    </w:pPr>
    <w:rPr>
      <w:sz w:val="18"/>
      <w:szCs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Body Text First Indent 2"/>
    <w:basedOn w:val="7"/>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563C1" w:themeColor="hyperlink"/>
      <w:u w:val="single"/>
      <w14:textFill>
        <w14:solidFill>
          <w14:schemeClr w14:val="hlink"/>
        </w14:solidFill>
      </w14:textFill>
    </w:rPr>
  </w:style>
  <w:style w:type="paragraph" w:customStyle="1" w:styleId="18">
    <w:name w:val="标准"/>
    <w:basedOn w:val="1"/>
    <w:autoRedefine/>
    <w:qFormat/>
    <w:uiPriority w:val="0"/>
    <w:pPr>
      <w:adjustRightInd w:val="0"/>
      <w:spacing w:before="120" w:after="120" w:line="312" w:lineRule="atLeast"/>
      <w:textAlignment w:val="baseline"/>
    </w:pPr>
    <w:rPr>
      <w:rFonts w:ascii="宋体"/>
      <w:kern w:val="0"/>
    </w:rPr>
  </w:style>
  <w:style w:type="character" w:customStyle="1" w:styleId="19">
    <w:name w:val="font41"/>
    <w:basedOn w:val="16"/>
    <w:autoRedefine/>
    <w:qFormat/>
    <w:uiPriority w:val="0"/>
    <w:rPr>
      <w:rFonts w:hint="eastAsia" w:ascii="宋体" w:hAnsi="宋体" w:eastAsia="宋体" w:cs="宋体"/>
      <w:color w:val="000000"/>
      <w:sz w:val="22"/>
      <w:szCs w:val="22"/>
      <w:u w:val="none"/>
    </w:rPr>
  </w:style>
  <w:style w:type="character" w:customStyle="1" w:styleId="20">
    <w:name w:val="font81"/>
    <w:basedOn w:val="16"/>
    <w:qFormat/>
    <w:uiPriority w:val="0"/>
    <w:rPr>
      <w:rFonts w:hint="eastAsia" w:ascii="宋体" w:hAnsi="宋体" w:eastAsia="宋体" w:cs="宋体"/>
      <w:color w:val="000000"/>
      <w:sz w:val="22"/>
      <w:szCs w:val="22"/>
      <w:u w:val="none"/>
    </w:rPr>
  </w:style>
  <w:style w:type="character" w:customStyle="1" w:styleId="21">
    <w:name w:val="font61"/>
    <w:basedOn w:val="16"/>
    <w:autoRedefine/>
    <w:qFormat/>
    <w:uiPriority w:val="0"/>
    <w:rPr>
      <w:rFonts w:hint="default" w:ascii="Times New Roman" w:hAnsi="Times New Roman" w:cs="Times New Roman"/>
      <w:color w:val="000000"/>
      <w:sz w:val="22"/>
      <w:szCs w:val="22"/>
      <w:u w:val="none"/>
    </w:rPr>
  </w:style>
  <w:style w:type="character" w:customStyle="1" w:styleId="22">
    <w:name w:val="font01"/>
    <w:basedOn w:val="16"/>
    <w:qFormat/>
    <w:uiPriority w:val="0"/>
    <w:rPr>
      <w:rFonts w:hint="eastAsia" w:ascii="宋体" w:hAnsi="宋体" w:eastAsia="宋体" w:cs="宋体"/>
      <w:color w:val="000000"/>
      <w:sz w:val="22"/>
      <w:szCs w:val="22"/>
      <w:u w:val="none"/>
    </w:rPr>
  </w:style>
  <w:style w:type="character" w:customStyle="1" w:styleId="23">
    <w:name w:val="font21"/>
    <w:basedOn w:val="16"/>
    <w:autoRedefine/>
    <w:qFormat/>
    <w:uiPriority w:val="0"/>
    <w:rPr>
      <w:rFonts w:hint="default" w:ascii="Times New Roman" w:hAnsi="Times New Roman" w:cs="Times New Roman"/>
      <w:color w:val="000000"/>
      <w:sz w:val="22"/>
      <w:szCs w:val="22"/>
      <w:u w:val="none"/>
    </w:rPr>
  </w:style>
  <w:style w:type="character" w:customStyle="1" w:styleId="24">
    <w:name w:val="页眉 字符"/>
    <w:basedOn w:val="16"/>
    <w:link w:val="10"/>
    <w:autoRedefine/>
    <w:qFormat/>
    <w:uiPriority w:val="0"/>
    <w:rPr>
      <w:kern w:val="2"/>
      <w:sz w:val="18"/>
      <w:szCs w:val="18"/>
    </w:rPr>
  </w:style>
  <w:style w:type="character" w:customStyle="1" w:styleId="25">
    <w:name w:val="页脚 字符"/>
    <w:basedOn w:val="16"/>
    <w:link w:val="9"/>
    <w:autoRedefine/>
    <w:qFormat/>
    <w:uiPriority w:val="0"/>
    <w:rPr>
      <w:kern w:val="2"/>
      <w:sz w:val="18"/>
      <w:szCs w:val="18"/>
    </w:rPr>
  </w:style>
  <w:style w:type="character" w:customStyle="1" w:styleId="26">
    <w:name w:val="标题 2 字符"/>
    <w:basedOn w:val="16"/>
    <w:link w:val="3"/>
    <w:autoRedefine/>
    <w:qFormat/>
    <w:uiPriority w:val="0"/>
    <w:rPr>
      <w:rFonts w:asciiTheme="majorHAnsi" w:hAnsiTheme="majorHAnsi" w:eastAsiaTheme="majorEastAsia" w:cstheme="majorBidi"/>
      <w:b/>
      <w:bCs/>
      <w:kern w:val="2"/>
      <w:sz w:val="32"/>
      <w:szCs w:val="32"/>
    </w:rPr>
  </w:style>
  <w:style w:type="character" w:customStyle="1" w:styleId="27">
    <w:name w:val="标题 3 字符"/>
    <w:basedOn w:val="16"/>
    <w:link w:val="4"/>
    <w:autoRedefine/>
    <w:qFormat/>
    <w:uiPriority w:val="0"/>
    <w:rPr>
      <w:rFonts w:ascii="Times New Roman" w:hAnsi="Times New Roman" w:eastAsia="宋体"/>
      <w:b/>
      <w:bCs/>
      <w:kern w:val="2"/>
      <w:sz w:val="32"/>
      <w:szCs w:val="32"/>
    </w:rPr>
  </w:style>
  <w:style w:type="character" w:customStyle="1" w:styleId="28">
    <w:name w:val="标题 1 字符"/>
    <w:basedOn w:val="16"/>
    <w:link w:val="2"/>
    <w:autoRedefine/>
    <w:qFormat/>
    <w:uiPriority w:val="0"/>
    <w:rPr>
      <w:b/>
      <w:bCs/>
      <w:kern w:val="44"/>
      <w:sz w:val="44"/>
      <w:szCs w:val="44"/>
    </w:rPr>
  </w:style>
  <w:style w:type="paragraph" w:customStyle="1" w:styleId="29">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0">
    <w:name w:val="List Paragraph"/>
    <w:basedOn w:val="1"/>
    <w:qFormat/>
    <w:uiPriority w:val="99"/>
    <w:pPr>
      <w:ind w:firstLine="420" w:firstLineChars="200"/>
    </w:pPr>
  </w:style>
  <w:style w:type="character" w:customStyle="1" w:styleId="31">
    <w:name w:val="font11"/>
    <w:basedOn w:val="16"/>
    <w:autoRedefine/>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005F-6CB3-4654-B6E8-7C29FBDA85A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14844</Words>
  <Characters>17329</Characters>
  <Lines>121</Lines>
  <Paragraphs>34</Paragraphs>
  <TotalTime>2</TotalTime>
  <ScaleCrop>false</ScaleCrop>
  <LinksUpToDate>false</LinksUpToDate>
  <CharactersWithSpaces>18196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2021-03-01T01:13:00Z</dcterms:created>
  <dc:creator>wulala</dc:creator>
  <cp:lastModifiedBy>zouzou</cp:lastModifiedBy>
  <dcterms:modified xsi:type="dcterms:W3CDTF">2024-01-04T14:22:06Z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9E5F5F02A5CB41689F945EC2D6CDEB63</vt:lpwstr>
  </property>
</Properties>
</file>